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0"/>
      </w:tblGrid>
      <w:tr w:rsidR="007F6C8B" w:rsidRPr="00481898" w14:paraId="0DF5ECE7" w14:textId="77777777" w:rsidTr="00470FF7">
        <w:tc>
          <w:tcPr>
            <w:tcW w:w="9010" w:type="dxa"/>
            <w:shd w:val="clear" w:color="auto" w:fill="D0CECE" w:themeFill="background2" w:themeFillShade="E6"/>
          </w:tcPr>
          <w:p w14:paraId="1C76BC53" w14:textId="77777777" w:rsidR="007F6C8B" w:rsidRPr="00481898" w:rsidRDefault="007F6C8B" w:rsidP="008A75C6">
            <w:pPr>
              <w:autoSpaceDE w:val="0"/>
              <w:autoSpaceDN w:val="0"/>
              <w:adjustRightInd w:val="0"/>
              <w:jc w:val="right"/>
              <w:rPr>
                <w:rFonts w:eastAsiaTheme="minorHAnsi" w:cstheme="minorHAnsi"/>
                <w:b/>
                <w:bCs/>
                <w:lang w:val="en-GB" w:eastAsia="en-US"/>
              </w:rPr>
            </w:pPr>
            <w:r w:rsidRPr="00481898">
              <w:rPr>
                <w:rFonts w:eastAsiaTheme="minorHAnsi" w:cstheme="minorHAnsi"/>
                <w:b/>
                <w:bCs/>
                <w:lang w:val="en-GB" w:eastAsia="en-US"/>
              </w:rPr>
              <w:t>ANNEX II</w:t>
            </w:r>
          </w:p>
          <w:p w14:paraId="122386C9" w14:textId="77777777" w:rsidR="007F6C8B" w:rsidRPr="00481898" w:rsidRDefault="007F6C8B" w:rsidP="008A75C6">
            <w:pPr>
              <w:autoSpaceDE w:val="0"/>
              <w:autoSpaceDN w:val="0"/>
              <w:adjustRightInd w:val="0"/>
              <w:jc w:val="center"/>
              <w:rPr>
                <w:rFonts w:eastAsiaTheme="minorHAnsi" w:cstheme="minorHAnsi"/>
                <w:b/>
                <w:bCs/>
                <w:sz w:val="24"/>
                <w:u w:val="single"/>
                <w:lang w:val="en-GB" w:eastAsia="en-US"/>
              </w:rPr>
            </w:pPr>
            <w:r w:rsidRPr="00481898">
              <w:rPr>
                <w:rFonts w:eastAsiaTheme="minorHAnsi" w:cstheme="minorHAnsi"/>
                <w:b/>
                <w:bCs/>
                <w:sz w:val="24"/>
                <w:u w:val="single"/>
                <w:lang w:val="en-GB" w:eastAsia="en-US"/>
              </w:rPr>
              <w:t>TERMS OF REFERENCE</w:t>
            </w:r>
          </w:p>
          <w:p w14:paraId="12DB011A" w14:textId="49EA485A" w:rsidR="007F6C8B" w:rsidRPr="00481898" w:rsidRDefault="007F6C8B" w:rsidP="008A75C6">
            <w:pPr>
              <w:jc w:val="center"/>
              <w:rPr>
                <w:rFonts w:eastAsiaTheme="minorHAnsi" w:cstheme="minorHAnsi"/>
                <w:i/>
                <w:iCs/>
                <w:lang w:val="en-GB" w:eastAsia="en-US"/>
              </w:rPr>
            </w:pPr>
            <w:r w:rsidRPr="00481898">
              <w:rPr>
                <w:rFonts w:eastAsiaTheme="minorHAnsi" w:cstheme="minorHAnsi"/>
                <w:i/>
                <w:iCs/>
                <w:lang w:val="en-GB" w:eastAsia="en-US"/>
              </w:rPr>
              <w:t xml:space="preserve">Request for Proposal (RFP) no: </w:t>
            </w:r>
            <w:r w:rsidR="00F3257C" w:rsidRPr="00481898">
              <w:rPr>
                <w:rFonts w:eastAsiaTheme="minorHAnsi" w:cstheme="minorHAnsi"/>
                <w:i/>
                <w:iCs/>
                <w:lang w:val="en-GB" w:eastAsia="en-US"/>
              </w:rPr>
              <w:t>RFP</w:t>
            </w:r>
            <w:r w:rsidR="00E232EB" w:rsidRPr="00481898">
              <w:rPr>
                <w:rFonts w:eastAsiaTheme="minorHAnsi" w:cstheme="minorHAnsi"/>
                <w:i/>
                <w:iCs/>
                <w:lang w:val="en-GB" w:eastAsia="en-US"/>
              </w:rPr>
              <w:t>21-0</w:t>
            </w:r>
            <w:r w:rsidR="00546712">
              <w:rPr>
                <w:rFonts w:eastAsiaTheme="minorHAnsi" w:cstheme="minorHAnsi"/>
                <w:i/>
                <w:iCs/>
                <w:lang w:val="en-GB" w:eastAsia="en-US"/>
              </w:rPr>
              <w:t>88</w:t>
            </w:r>
          </w:p>
          <w:p w14:paraId="68E4008C" w14:textId="341E8B83" w:rsidR="004679E2" w:rsidRPr="00481898" w:rsidRDefault="004679E2" w:rsidP="008A75C6">
            <w:pPr>
              <w:jc w:val="both"/>
              <w:rPr>
                <w:rFonts w:eastAsiaTheme="minorHAnsi" w:cstheme="minorHAnsi"/>
                <w:i/>
                <w:iCs/>
                <w:lang w:val="en-GB" w:eastAsia="en-US"/>
              </w:rPr>
            </w:pPr>
          </w:p>
        </w:tc>
      </w:tr>
    </w:tbl>
    <w:p w14:paraId="7B2A536F" w14:textId="07E52B50" w:rsidR="00546712" w:rsidRDefault="00546712" w:rsidP="00546712">
      <w:pPr>
        <w:pStyle w:val="Titre2"/>
        <w:spacing w:before="0" w:after="120"/>
        <w:contextualSpacing/>
        <w:rPr>
          <w:rFonts w:asciiTheme="minorHAnsi" w:hAnsiTheme="minorHAnsi" w:cstheme="minorHAnsi"/>
          <w:b/>
          <w:bCs/>
          <w:color w:val="auto"/>
          <w:sz w:val="24"/>
          <w:szCs w:val="24"/>
          <w:lang w:val="en-GB"/>
        </w:rPr>
      </w:pPr>
    </w:p>
    <w:p w14:paraId="7DBB6005" w14:textId="77777777" w:rsidR="009E798E" w:rsidRPr="009E798E" w:rsidRDefault="009E798E" w:rsidP="009E798E">
      <w:pPr>
        <w:rPr>
          <w:lang w:val="en-GB" w:eastAsia="en-US"/>
        </w:rPr>
      </w:pPr>
    </w:p>
    <w:p w14:paraId="5BA5194C" w14:textId="281A547E" w:rsidR="00546712" w:rsidRPr="00546712" w:rsidRDefault="00546712" w:rsidP="00546712">
      <w:pPr>
        <w:pStyle w:val="Titre2"/>
        <w:spacing w:before="0" w:after="120"/>
        <w:contextualSpacing/>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 xml:space="preserve">Project Title: </w:t>
      </w:r>
      <w:r w:rsidRPr="00546712">
        <w:rPr>
          <w:rFonts w:asciiTheme="minorHAnsi" w:hAnsiTheme="minorHAnsi" w:cstheme="minorHAnsi"/>
          <w:b/>
          <w:bCs/>
          <w:color w:val="auto"/>
          <w:sz w:val="24"/>
          <w:szCs w:val="24"/>
          <w:lang w:val="en-GB"/>
        </w:rPr>
        <w:t xml:space="preserve">Support for communication and awareness. </w:t>
      </w:r>
    </w:p>
    <w:p w14:paraId="67C852AC" w14:textId="77777777" w:rsidR="00546712" w:rsidRPr="00546712" w:rsidRDefault="00546712" w:rsidP="00546712">
      <w:pPr>
        <w:pStyle w:val="Titre3"/>
        <w:spacing w:before="0" w:after="120"/>
        <w:ind w:hanging="426"/>
        <w:contextualSpacing/>
        <w:rPr>
          <w:rFonts w:asciiTheme="minorHAnsi" w:hAnsiTheme="minorHAnsi" w:cstheme="minorHAnsi"/>
          <w:b/>
          <w:color w:val="auto"/>
          <w:sz w:val="22"/>
          <w:szCs w:val="22"/>
          <w:lang w:val="en-GB"/>
        </w:rPr>
      </w:pPr>
      <w:r w:rsidRPr="00546712">
        <w:rPr>
          <w:rFonts w:asciiTheme="minorHAnsi" w:hAnsiTheme="minorHAnsi" w:cstheme="minorHAnsi"/>
          <w:color w:val="auto"/>
          <w:sz w:val="22"/>
          <w:szCs w:val="22"/>
          <w:lang w:val="en-GB"/>
        </w:rPr>
        <w:tab/>
      </w:r>
    </w:p>
    <w:p w14:paraId="0B187711"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t xml:space="preserve">Project Description  </w:t>
      </w:r>
    </w:p>
    <w:p w14:paraId="5846AD52" w14:textId="77777777" w:rsidR="009E798E" w:rsidRDefault="009E798E" w:rsidP="00546712">
      <w:pPr>
        <w:spacing w:after="120"/>
        <w:jc w:val="both"/>
        <w:rPr>
          <w:rFonts w:cstheme="minorHAnsi"/>
          <w:lang w:val="en-GB"/>
        </w:rPr>
      </w:pPr>
    </w:p>
    <w:p w14:paraId="449C6DD7" w14:textId="7D5245A4" w:rsidR="00546712" w:rsidRPr="00546712" w:rsidRDefault="00546712" w:rsidP="00546712">
      <w:pPr>
        <w:spacing w:after="120"/>
        <w:jc w:val="both"/>
        <w:rPr>
          <w:rFonts w:cstheme="minorHAnsi"/>
          <w:lang w:val="en-GB"/>
        </w:rPr>
      </w:pPr>
      <w:r w:rsidRPr="00546712">
        <w:rPr>
          <w:rFonts w:cstheme="minorHAnsi"/>
          <w:lang w:val="en-GB"/>
        </w:rPr>
        <w:t>The Pacific Community (SPC) is the principal scientific and technical organisation supporting development in the Pacific region. To achieve genuine and lasting improvement in people’s lives, its focus is on working with all members, at all levels, to deliver integrated services that advance their progress towards addressing their development challenges and achieving their aspirations.</w:t>
      </w:r>
    </w:p>
    <w:p w14:paraId="402EA074" w14:textId="77777777" w:rsidR="00546712" w:rsidRPr="00546712" w:rsidRDefault="00546712" w:rsidP="00546712">
      <w:pPr>
        <w:spacing w:after="120"/>
        <w:jc w:val="both"/>
        <w:rPr>
          <w:rFonts w:cstheme="minorHAnsi"/>
          <w:lang w:val="en-GB"/>
        </w:rPr>
      </w:pPr>
      <w:r w:rsidRPr="00546712">
        <w:rPr>
          <w:rFonts w:cstheme="minorHAnsi"/>
          <w:lang w:val="en-GB"/>
        </w:rPr>
        <w:t>This request for proposal is intended to serve the need of different divisions/programs and projects.</w:t>
      </w:r>
    </w:p>
    <w:p w14:paraId="57CE69B1" w14:textId="77777777" w:rsidR="00546712" w:rsidRPr="00546712" w:rsidRDefault="00546712" w:rsidP="00546712">
      <w:pPr>
        <w:pStyle w:val="Titre2"/>
        <w:spacing w:before="0" w:after="120"/>
        <w:ind w:left="360"/>
        <w:contextualSpacing/>
        <w:rPr>
          <w:rFonts w:asciiTheme="minorHAnsi" w:hAnsiTheme="minorHAnsi" w:cstheme="minorHAnsi"/>
          <w:color w:val="auto"/>
          <w:lang w:val="en-GB"/>
        </w:rPr>
      </w:pPr>
    </w:p>
    <w:p w14:paraId="24B98631"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t>Scope of Work</w:t>
      </w:r>
    </w:p>
    <w:p w14:paraId="2617E253" w14:textId="77777777" w:rsidR="009E798E" w:rsidRDefault="009E798E" w:rsidP="00546712">
      <w:pPr>
        <w:spacing w:after="120"/>
        <w:contextualSpacing/>
        <w:jc w:val="both"/>
        <w:rPr>
          <w:rFonts w:eastAsia="Times New Roman" w:cstheme="minorHAnsi"/>
          <w:b/>
          <w:bCs/>
          <w:lang w:val="en-GB"/>
        </w:rPr>
      </w:pPr>
    </w:p>
    <w:p w14:paraId="7C5DC5F0" w14:textId="4A320D12" w:rsidR="00546712" w:rsidRPr="00546712" w:rsidRDefault="00546712" w:rsidP="00546712">
      <w:pPr>
        <w:spacing w:after="120"/>
        <w:contextualSpacing/>
        <w:jc w:val="both"/>
        <w:rPr>
          <w:rFonts w:eastAsia="Times New Roman" w:cstheme="minorHAnsi"/>
          <w:b/>
          <w:bCs/>
          <w:lang w:val="en-GB"/>
        </w:rPr>
      </w:pPr>
      <w:r w:rsidRPr="00546712">
        <w:rPr>
          <w:rFonts w:eastAsia="Times New Roman" w:cstheme="minorHAnsi"/>
          <w:b/>
          <w:bCs/>
          <w:lang w:val="en-GB"/>
        </w:rPr>
        <w:t>Development and delivery of engagement strategies and awareness campaigns</w:t>
      </w:r>
    </w:p>
    <w:p w14:paraId="18A95838" w14:textId="1DD049E0" w:rsidR="00546712" w:rsidRPr="00546712" w:rsidRDefault="00DF4426" w:rsidP="00546712">
      <w:pPr>
        <w:spacing w:after="120"/>
        <w:contextualSpacing/>
        <w:jc w:val="both"/>
        <w:rPr>
          <w:rFonts w:eastAsia="Times New Roman" w:cstheme="minorHAnsi"/>
          <w:lang w:val="en-GB"/>
        </w:rPr>
      </w:pPr>
      <w:r>
        <w:rPr>
          <w:rFonts w:eastAsia="Times New Roman" w:cstheme="minorHAnsi"/>
          <w:lang w:val="en-GB"/>
        </w:rPr>
        <w:t>E</w:t>
      </w:r>
      <w:r w:rsidR="00546712" w:rsidRPr="00546712">
        <w:rPr>
          <w:rFonts w:eastAsia="Times New Roman" w:cstheme="minorHAnsi"/>
          <w:lang w:val="en-GB"/>
        </w:rPr>
        <w:t xml:space="preserve">stablish an engagement strategy aimed at raising awareness amongst target audiences: SPC staff (internal), SPC member governments, partners (donors, academia, likeminded organizations), etc. </w:t>
      </w:r>
    </w:p>
    <w:p w14:paraId="2432093D" w14:textId="77777777" w:rsidR="00DF4426" w:rsidRPr="00546712" w:rsidRDefault="00DF4426" w:rsidP="00546712">
      <w:pPr>
        <w:spacing w:after="120"/>
        <w:contextualSpacing/>
        <w:jc w:val="both"/>
        <w:rPr>
          <w:rFonts w:eastAsia="Times New Roman" w:cstheme="minorHAnsi"/>
          <w:lang w:val="en-GB"/>
        </w:rPr>
      </w:pPr>
    </w:p>
    <w:p w14:paraId="2138B9EA" w14:textId="64B1C34A"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Generate relevant messaging crafted for the above-mentioned target audiences and ensure consistency of </w:t>
      </w:r>
      <w:r w:rsidR="0079761F">
        <w:rPr>
          <w:rFonts w:eastAsia="Times New Roman" w:cstheme="minorHAnsi"/>
          <w:lang w:val="en-GB"/>
        </w:rPr>
        <w:t xml:space="preserve">the </w:t>
      </w:r>
      <w:r w:rsidR="0079761F" w:rsidRPr="00546712">
        <w:rPr>
          <w:rFonts w:eastAsia="Times New Roman" w:cstheme="minorHAnsi"/>
          <w:lang w:val="en-GB"/>
        </w:rPr>
        <w:t xml:space="preserve">Pacific Data Hub </w:t>
      </w:r>
      <w:r w:rsidR="0079761F">
        <w:rPr>
          <w:rFonts w:eastAsia="Times New Roman" w:cstheme="minorHAnsi"/>
          <w:lang w:val="en-GB"/>
        </w:rPr>
        <w:t>(</w:t>
      </w:r>
      <w:r w:rsidRPr="00546712">
        <w:rPr>
          <w:rFonts w:eastAsia="Times New Roman" w:cstheme="minorHAnsi"/>
          <w:lang w:val="en-GB"/>
        </w:rPr>
        <w:t>PDH</w:t>
      </w:r>
      <w:r w:rsidR="0079761F">
        <w:rPr>
          <w:rFonts w:eastAsia="Times New Roman" w:cstheme="minorHAnsi"/>
          <w:lang w:val="en-GB"/>
        </w:rPr>
        <w:t>)</w:t>
      </w:r>
      <w:r w:rsidRPr="00546712">
        <w:rPr>
          <w:rFonts w:eastAsia="Times New Roman" w:cstheme="minorHAnsi"/>
          <w:lang w:val="en-GB"/>
        </w:rPr>
        <w:t xml:space="preserve"> messaging across all existing platforms (websites, social media, newsletters, print publications).</w:t>
      </w:r>
    </w:p>
    <w:p w14:paraId="18411B21" w14:textId="2E992867" w:rsidR="00546712" w:rsidRDefault="00546712" w:rsidP="00546712">
      <w:pPr>
        <w:spacing w:after="120"/>
        <w:contextualSpacing/>
        <w:jc w:val="both"/>
        <w:rPr>
          <w:rFonts w:eastAsia="Times New Roman" w:cstheme="minorHAnsi"/>
          <w:lang w:val="en-GB"/>
        </w:rPr>
      </w:pPr>
    </w:p>
    <w:p w14:paraId="44AFB695" w14:textId="230F25A9" w:rsidR="00DF4426" w:rsidRDefault="00DF4426" w:rsidP="00546712">
      <w:pPr>
        <w:spacing w:after="120"/>
        <w:contextualSpacing/>
        <w:jc w:val="both"/>
        <w:rPr>
          <w:rFonts w:eastAsia="Times New Roman" w:cstheme="minorHAnsi"/>
          <w:lang w:val="en-GB"/>
        </w:rPr>
      </w:pPr>
      <w:r>
        <w:rPr>
          <w:rFonts w:eastAsia="Times New Roman" w:cstheme="minorHAnsi"/>
          <w:lang w:val="en-GB"/>
        </w:rPr>
        <w:t>To be conducted</w:t>
      </w:r>
      <w:r w:rsidRPr="00546712">
        <w:rPr>
          <w:rFonts w:eastAsia="Times New Roman" w:cstheme="minorHAnsi"/>
          <w:lang w:val="en-GB"/>
        </w:rPr>
        <w:t xml:space="preserve"> closely with the Pacific Data Hub team, SPC’s Corporate Communications Office, the Strategy Performance and Learning (SPL) unit and other technical divisions</w:t>
      </w:r>
      <w:r w:rsidR="0079761F">
        <w:rPr>
          <w:rFonts w:eastAsia="Times New Roman" w:cstheme="minorHAnsi"/>
          <w:lang w:val="en-GB"/>
        </w:rPr>
        <w:t>.</w:t>
      </w:r>
    </w:p>
    <w:p w14:paraId="41899D50" w14:textId="77777777" w:rsidR="009E798E" w:rsidRPr="00546712" w:rsidRDefault="009E798E" w:rsidP="00546712">
      <w:pPr>
        <w:spacing w:after="120"/>
        <w:contextualSpacing/>
        <w:jc w:val="both"/>
        <w:rPr>
          <w:rFonts w:eastAsia="Times New Roman" w:cstheme="minorHAnsi"/>
          <w:lang w:val="en-GB"/>
        </w:rPr>
      </w:pPr>
    </w:p>
    <w:p w14:paraId="14BA81A8" w14:textId="77777777" w:rsidR="00546712" w:rsidRPr="00546712" w:rsidRDefault="00546712" w:rsidP="00546712">
      <w:pPr>
        <w:spacing w:after="120"/>
        <w:contextualSpacing/>
        <w:jc w:val="both"/>
        <w:rPr>
          <w:rFonts w:eastAsia="Times New Roman" w:cstheme="minorHAnsi"/>
          <w:b/>
          <w:bCs/>
          <w:lang w:val="en-GB"/>
        </w:rPr>
      </w:pPr>
      <w:r w:rsidRPr="00546712">
        <w:rPr>
          <w:rFonts w:eastAsia="Times New Roman" w:cstheme="minorHAnsi"/>
          <w:b/>
          <w:bCs/>
          <w:lang w:val="en-GB"/>
        </w:rPr>
        <w:t>Engagement with PDH key partners/identification and outreach for new partners</w:t>
      </w:r>
    </w:p>
    <w:p w14:paraId="4C67A610" w14:textId="77777777"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Develop training plans and associated training/educational materials for member governments and other key partners to roll out promotional activities for the Pacific Data Hub, and therefore become “ambassadors” for the PDH. </w:t>
      </w:r>
    </w:p>
    <w:p w14:paraId="3F5A9D9D" w14:textId="77777777" w:rsidR="00546712" w:rsidRPr="00546712" w:rsidRDefault="00546712" w:rsidP="00546712">
      <w:pPr>
        <w:spacing w:after="120"/>
        <w:contextualSpacing/>
        <w:jc w:val="both"/>
        <w:rPr>
          <w:rFonts w:eastAsia="Times New Roman" w:cstheme="minorHAnsi"/>
          <w:lang w:val="en-GB"/>
        </w:rPr>
      </w:pPr>
    </w:p>
    <w:p w14:paraId="125D55CC" w14:textId="5AAECA39"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Identify new potential partners for the PDH; draft and tailor donor/partner engagement guidelines; help maintain partnerships by organizing and facilitating regular meetings and providing accurate information in a timely manner.</w:t>
      </w:r>
    </w:p>
    <w:p w14:paraId="21B12AB5" w14:textId="77777777" w:rsidR="00546712" w:rsidRPr="00546712" w:rsidRDefault="00546712" w:rsidP="00546712">
      <w:pPr>
        <w:spacing w:after="120"/>
        <w:contextualSpacing/>
        <w:jc w:val="both"/>
        <w:rPr>
          <w:rFonts w:eastAsia="Times New Roman" w:cstheme="minorHAnsi"/>
          <w:lang w:val="en-GB"/>
        </w:rPr>
      </w:pPr>
    </w:p>
    <w:p w14:paraId="24C0330E" w14:textId="77777777"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Coordinate engagement activities of “Data Champions” who will be solicited to promote the role of the PDH, and the wider concept of open data across the Pacific region. </w:t>
      </w:r>
    </w:p>
    <w:p w14:paraId="7C7356A1" w14:textId="77777777" w:rsidR="00546712" w:rsidRPr="00546712" w:rsidRDefault="00546712" w:rsidP="00546712">
      <w:pPr>
        <w:spacing w:after="120"/>
        <w:contextualSpacing/>
        <w:jc w:val="both"/>
        <w:rPr>
          <w:rFonts w:eastAsia="Times New Roman" w:cstheme="minorHAnsi"/>
          <w:lang w:val="en-GB"/>
        </w:rPr>
      </w:pPr>
    </w:p>
    <w:p w14:paraId="6FCF67AE" w14:textId="77777777" w:rsidR="00546712" w:rsidRPr="00546712" w:rsidRDefault="00546712" w:rsidP="00546712">
      <w:pPr>
        <w:spacing w:after="120"/>
        <w:contextualSpacing/>
        <w:jc w:val="both"/>
        <w:rPr>
          <w:rFonts w:eastAsia="Times New Roman" w:cstheme="minorHAnsi"/>
          <w:b/>
          <w:bCs/>
          <w:lang w:val="en-GB"/>
        </w:rPr>
      </w:pPr>
      <w:r w:rsidRPr="00546712">
        <w:rPr>
          <w:rFonts w:eastAsia="Times New Roman" w:cstheme="minorHAnsi"/>
          <w:b/>
          <w:bCs/>
          <w:lang w:val="en-GB"/>
        </w:rPr>
        <w:t>Delivery of communication campaigns and media engagement strategies</w:t>
      </w:r>
    </w:p>
    <w:p w14:paraId="04A215AD" w14:textId="171D0C7E" w:rsid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Oversee the design and development of communication/awareness campaigns: </w:t>
      </w:r>
    </w:p>
    <w:p w14:paraId="39242296" w14:textId="77777777" w:rsidR="005A1EEB" w:rsidRDefault="005A1EEB" w:rsidP="005A1EEB">
      <w:pPr>
        <w:pStyle w:val="Paragraphedeliste"/>
        <w:numPr>
          <w:ilvl w:val="0"/>
          <w:numId w:val="11"/>
        </w:numPr>
        <w:spacing w:after="120"/>
        <w:ind w:left="709"/>
        <w:jc w:val="both"/>
        <w:rPr>
          <w:rFonts w:eastAsia="Times New Roman" w:cstheme="minorHAnsi"/>
          <w:lang w:val="en-GB"/>
        </w:rPr>
      </w:pPr>
      <w:r w:rsidRPr="005A1EEB">
        <w:rPr>
          <w:rFonts w:eastAsia="Times New Roman" w:cstheme="minorHAnsi"/>
          <w:lang w:val="en-GB"/>
        </w:rPr>
        <w:t xml:space="preserve">Identify key dates in the regional/international agenda and suggest campaign ideas </w:t>
      </w:r>
      <w:proofErr w:type="gramStart"/>
      <w:r w:rsidRPr="005A1EEB">
        <w:rPr>
          <w:rFonts w:eastAsia="Times New Roman" w:cstheme="minorHAnsi"/>
          <w:lang w:val="en-GB"/>
        </w:rPr>
        <w:t>accordingly;</w:t>
      </w:r>
      <w:proofErr w:type="gramEnd"/>
    </w:p>
    <w:p w14:paraId="3A4F9C0D" w14:textId="48A8604A" w:rsidR="005A1EEB" w:rsidRPr="005A1EEB" w:rsidRDefault="005A1EEB" w:rsidP="005A1EEB">
      <w:pPr>
        <w:pStyle w:val="Paragraphedeliste"/>
        <w:numPr>
          <w:ilvl w:val="0"/>
          <w:numId w:val="11"/>
        </w:numPr>
        <w:spacing w:after="120"/>
        <w:ind w:left="709"/>
        <w:jc w:val="both"/>
        <w:rPr>
          <w:rFonts w:eastAsia="Times New Roman" w:cstheme="minorHAnsi"/>
          <w:lang w:val="en-GB"/>
        </w:rPr>
      </w:pPr>
      <w:r>
        <w:rPr>
          <w:rFonts w:eastAsia="Times New Roman" w:cstheme="minorHAnsi"/>
          <w:lang w:val="en-GB"/>
        </w:rPr>
        <w:t>D</w:t>
      </w:r>
      <w:r w:rsidRPr="005A1EEB">
        <w:rPr>
          <w:rFonts w:eastAsia="Times New Roman" w:cstheme="minorHAnsi"/>
          <w:lang w:val="en-GB"/>
        </w:rPr>
        <w:t xml:space="preserve">evelop, in close collaboration with the PDH team and the Corporate Communications Office, a multi-annual campaign strategy with clear objectives, activities, and measurable KPIs. </w:t>
      </w:r>
    </w:p>
    <w:p w14:paraId="59263F27" w14:textId="77777777" w:rsidR="00546712" w:rsidRPr="00546712" w:rsidRDefault="00546712" w:rsidP="00546712">
      <w:pPr>
        <w:spacing w:after="120"/>
        <w:contextualSpacing/>
        <w:jc w:val="both"/>
        <w:rPr>
          <w:rFonts w:eastAsia="Times New Roman" w:cstheme="minorHAnsi"/>
          <w:lang w:val="en-GB"/>
        </w:rPr>
      </w:pPr>
    </w:p>
    <w:p w14:paraId="2B519992" w14:textId="414099C9"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lastRenderedPageBreak/>
        <w:t xml:space="preserve">Coordinate the development of campaign tools including content and products such as advocacy packs, </w:t>
      </w:r>
      <w:r w:rsidR="005A1EEB" w:rsidRPr="00546712">
        <w:rPr>
          <w:rFonts w:eastAsia="Times New Roman" w:cstheme="minorHAnsi"/>
          <w:lang w:val="en-GB"/>
        </w:rPr>
        <w:t>presentations,</w:t>
      </w:r>
      <w:r w:rsidRPr="00546712">
        <w:rPr>
          <w:rFonts w:eastAsia="Times New Roman" w:cstheme="minorHAnsi"/>
          <w:lang w:val="en-GB"/>
        </w:rPr>
        <w:t xml:space="preserve"> and other briefing materials. </w:t>
      </w:r>
    </w:p>
    <w:p w14:paraId="747D3B7F" w14:textId="77777777" w:rsidR="00546712" w:rsidRPr="00546712" w:rsidRDefault="00546712" w:rsidP="00546712">
      <w:pPr>
        <w:spacing w:after="120"/>
        <w:contextualSpacing/>
        <w:jc w:val="both"/>
        <w:rPr>
          <w:rFonts w:eastAsia="Times New Roman" w:cstheme="minorHAnsi"/>
          <w:lang w:val="en-GB"/>
        </w:rPr>
      </w:pPr>
    </w:p>
    <w:p w14:paraId="03605F97" w14:textId="77777777"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Delivery of a short and basic crash courses in communication strategies for staff using materials </w:t>
      </w:r>
      <w:proofErr w:type="gramStart"/>
      <w:r w:rsidRPr="00546712">
        <w:rPr>
          <w:rFonts w:eastAsia="Times New Roman" w:cstheme="minorHAnsi"/>
          <w:lang w:val="en-GB"/>
        </w:rPr>
        <w:t>in order to</w:t>
      </w:r>
      <w:proofErr w:type="gramEnd"/>
      <w:r w:rsidRPr="00546712">
        <w:rPr>
          <w:rFonts w:eastAsia="Times New Roman" w:cstheme="minorHAnsi"/>
          <w:lang w:val="en-GB"/>
        </w:rPr>
        <w:t xml:space="preserve"> maximize use and encourage effective communication practices.  </w:t>
      </w:r>
    </w:p>
    <w:p w14:paraId="233FDF6D" w14:textId="77777777" w:rsidR="00546712" w:rsidRPr="00546712" w:rsidRDefault="00546712" w:rsidP="00546712">
      <w:pPr>
        <w:spacing w:after="120"/>
        <w:contextualSpacing/>
        <w:jc w:val="both"/>
        <w:rPr>
          <w:rFonts w:eastAsia="Times New Roman" w:cstheme="minorHAnsi"/>
          <w:lang w:val="en-GB"/>
        </w:rPr>
      </w:pPr>
    </w:p>
    <w:p w14:paraId="0343F916" w14:textId="35A7C443" w:rsidR="005A1EEB" w:rsidRDefault="00546712" w:rsidP="00546712">
      <w:pPr>
        <w:spacing w:after="120"/>
        <w:contextualSpacing/>
        <w:jc w:val="both"/>
        <w:rPr>
          <w:rFonts w:eastAsia="Times New Roman" w:cstheme="minorHAnsi"/>
          <w:lang w:val="en-GB"/>
        </w:rPr>
      </w:pPr>
      <w:r w:rsidRPr="00546712">
        <w:rPr>
          <w:rFonts w:eastAsia="Times New Roman" w:cstheme="minorHAnsi"/>
          <w:lang w:val="en-GB"/>
        </w:rPr>
        <w:t xml:space="preserve">Promote a better understanding of the PDH by facilitating or supporting news media outreach: </w:t>
      </w:r>
    </w:p>
    <w:p w14:paraId="6B945A0C" w14:textId="77777777" w:rsidR="005A1EEB" w:rsidRDefault="005A1EEB" w:rsidP="005A1EEB">
      <w:pPr>
        <w:pStyle w:val="Paragraphedeliste"/>
        <w:numPr>
          <w:ilvl w:val="0"/>
          <w:numId w:val="11"/>
        </w:numPr>
        <w:spacing w:after="120"/>
        <w:ind w:left="709"/>
        <w:jc w:val="both"/>
        <w:rPr>
          <w:rFonts w:eastAsia="Times New Roman" w:cstheme="minorHAnsi"/>
          <w:lang w:val="en-GB"/>
        </w:rPr>
      </w:pPr>
      <w:r>
        <w:rPr>
          <w:rFonts w:eastAsia="Times New Roman" w:cstheme="minorHAnsi"/>
          <w:lang w:val="en-GB"/>
        </w:rPr>
        <w:t>A</w:t>
      </w:r>
      <w:r w:rsidRPr="00546712">
        <w:rPr>
          <w:rFonts w:eastAsia="Times New Roman" w:cstheme="minorHAnsi"/>
          <w:lang w:val="en-GB"/>
        </w:rPr>
        <w:t xml:space="preserve">ctively seek media opportunities for the </w:t>
      </w:r>
      <w:proofErr w:type="gramStart"/>
      <w:r w:rsidRPr="00546712">
        <w:rPr>
          <w:rFonts w:eastAsia="Times New Roman" w:cstheme="minorHAnsi"/>
          <w:lang w:val="en-GB"/>
        </w:rPr>
        <w:t>PDH;</w:t>
      </w:r>
      <w:proofErr w:type="gramEnd"/>
    </w:p>
    <w:p w14:paraId="354F74BF" w14:textId="77777777" w:rsidR="005A1EEB" w:rsidRDefault="005A1EEB" w:rsidP="005A1EEB">
      <w:pPr>
        <w:pStyle w:val="Paragraphedeliste"/>
        <w:numPr>
          <w:ilvl w:val="0"/>
          <w:numId w:val="11"/>
        </w:numPr>
        <w:spacing w:after="120"/>
        <w:ind w:left="709"/>
        <w:jc w:val="both"/>
        <w:rPr>
          <w:rFonts w:eastAsia="Times New Roman" w:cstheme="minorHAnsi"/>
          <w:lang w:val="en-GB"/>
        </w:rPr>
      </w:pPr>
      <w:r>
        <w:rPr>
          <w:rFonts w:eastAsia="Times New Roman" w:cstheme="minorHAnsi"/>
          <w:lang w:val="en-GB"/>
        </w:rPr>
        <w:t>E</w:t>
      </w:r>
      <w:r w:rsidRPr="00546712">
        <w:rPr>
          <w:rFonts w:eastAsia="Times New Roman" w:cstheme="minorHAnsi"/>
          <w:lang w:val="en-GB"/>
        </w:rPr>
        <w:t xml:space="preserve">ngage with journalists and secure slots for interviews with the PDH </w:t>
      </w:r>
      <w:proofErr w:type="gramStart"/>
      <w:r w:rsidRPr="00546712">
        <w:rPr>
          <w:rFonts w:eastAsia="Times New Roman" w:cstheme="minorHAnsi"/>
          <w:lang w:val="en-GB"/>
        </w:rPr>
        <w:t>team;</w:t>
      </w:r>
      <w:proofErr w:type="gramEnd"/>
    </w:p>
    <w:p w14:paraId="443E9CED" w14:textId="77777777" w:rsidR="005A1EEB" w:rsidRPr="00546712" w:rsidRDefault="005A1EEB" w:rsidP="005A1EEB">
      <w:pPr>
        <w:pStyle w:val="Paragraphedeliste"/>
        <w:numPr>
          <w:ilvl w:val="0"/>
          <w:numId w:val="11"/>
        </w:numPr>
        <w:spacing w:after="120"/>
        <w:ind w:left="709"/>
        <w:jc w:val="both"/>
        <w:rPr>
          <w:rFonts w:eastAsia="Times New Roman" w:cstheme="minorHAnsi"/>
          <w:lang w:val="en-GB"/>
        </w:rPr>
      </w:pPr>
      <w:r>
        <w:rPr>
          <w:rFonts w:eastAsia="Times New Roman" w:cstheme="minorHAnsi"/>
          <w:lang w:val="en-GB"/>
        </w:rPr>
        <w:t>B</w:t>
      </w:r>
      <w:r w:rsidRPr="00546712">
        <w:rPr>
          <w:rFonts w:eastAsia="Times New Roman" w:cstheme="minorHAnsi"/>
          <w:lang w:val="en-GB"/>
        </w:rPr>
        <w:t xml:space="preserve">uild a database of national, </w:t>
      </w:r>
      <w:proofErr w:type="gramStart"/>
      <w:r w:rsidRPr="00546712">
        <w:rPr>
          <w:rFonts w:eastAsia="Times New Roman" w:cstheme="minorHAnsi"/>
          <w:lang w:val="en-GB"/>
        </w:rPr>
        <w:t>regional</w:t>
      </w:r>
      <w:proofErr w:type="gramEnd"/>
      <w:r w:rsidRPr="00546712">
        <w:rPr>
          <w:rFonts w:eastAsia="Times New Roman" w:cstheme="minorHAnsi"/>
          <w:lang w:val="en-GB"/>
        </w:rPr>
        <w:t xml:space="preserve"> and global news outlets (traditional and online) who are interested in the PDH/open data in the Pacific context. </w:t>
      </w:r>
    </w:p>
    <w:p w14:paraId="37379D25" w14:textId="77777777" w:rsidR="005A1EEB" w:rsidRPr="00546712" w:rsidRDefault="005A1EEB" w:rsidP="00546712">
      <w:pPr>
        <w:spacing w:after="120"/>
        <w:contextualSpacing/>
        <w:jc w:val="both"/>
        <w:rPr>
          <w:rFonts w:eastAsia="Times New Roman" w:cstheme="minorHAnsi"/>
          <w:lang w:val="en-GB"/>
        </w:rPr>
      </w:pPr>
    </w:p>
    <w:p w14:paraId="41E7AE29" w14:textId="0F283FB7" w:rsidR="00546712" w:rsidRPr="00546712" w:rsidRDefault="00D72271" w:rsidP="00546712">
      <w:pPr>
        <w:spacing w:after="120"/>
        <w:contextualSpacing/>
        <w:jc w:val="both"/>
        <w:rPr>
          <w:rFonts w:eastAsia="Times New Roman" w:cstheme="minorHAnsi"/>
          <w:lang w:val="en-GB"/>
        </w:rPr>
      </w:pPr>
      <w:r>
        <w:rPr>
          <w:rFonts w:eastAsia="Times New Roman" w:cstheme="minorHAnsi"/>
          <w:lang w:val="en-GB"/>
        </w:rPr>
        <w:t>D</w:t>
      </w:r>
      <w:r w:rsidR="00546712" w:rsidRPr="00546712">
        <w:rPr>
          <w:rFonts w:eastAsia="Times New Roman" w:cstheme="minorHAnsi"/>
          <w:lang w:val="en-GB"/>
        </w:rPr>
        <w:t>evelop communication templates (print and electronic) to help standardized future communication materials)</w:t>
      </w:r>
    </w:p>
    <w:p w14:paraId="701129F1" w14:textId="77777777" w:rsidR="00546712" w:rsidRPr="00546712" w:rsidRDefault="00546712" w:rsidP="00546712">
      <w:pPr>
        <w:spacing w:after="120"/>
        <w:contextualSpacing/>
        <w:jc w:val="both"/>
        <w:rPr>
          <w:rFonts w:eastAsia="Times New Roman" w:cstheme="minorHAnsi"/>
          <w:lang w:val="en-GB"/>
        </w:rPr>
      </w:pPr>
    </w:p>
    <w:p w14:paraId="5D82F497" w14:textId="77777777" w:rsidR="00546712" w:rsidRPr="00546712" w:rsidRDefault="00546712" w:rsidP="00546712">
      <w:pPr>
        <w:spacing w:after="120"/>
        <w:contextualSpacing/>
        <w:jc w:val="both"/>
        <w:rPr>
          <w:rFonts w:eastAsia="Times New Roman" w:cstheme="minorHAnsi"/>
          <w:b/>
          <w:bCs/>
          <w:lang w:val="en-GB"/>
        </w:rPr>
      </w:pPr>
      <w:r w:rsidRPr="00546712">
        <w:rPr>
          <w:rFonts w:eastAsia="Times New Roman" w:cstheme="minorHAnsi"/>
          <w:b/>
          <w:bCs/>
          <w:lang w:val="en-GB"/>
        </w:rPr>
        <w:t xml:space="preserve">Provide guidance for smaller communication campaigns for specific outputs  </w:t>
      </w:r>
    </w:p>
    <w:p w14:paraId="374AC56D" w14:textId="0DAEB7B3" w:rsidR="00D72271" w:rsidRDefault="00546712" w:rsidP="00546712">
      <w:pPr>
        <w:spacing w:after="120"/>
        <w:contextualSpacing/>
        <w:jc w:val="both"/>
        <w:rPr>
          <w:rFonts w:eastAsia="Times New Roman" w:cstheme="minorHAnsi"/>
          <w:lang w:val="en-GB"/>
        </w:rPr>
      </w:pPr>
      <w:r w:rsidRPr="00546712">
        <w:rPr>
          <w:rFonts w:eastAsia="Times New Roman" w:cstheme="minorHAnsi"/>
          <w:lang w:val="en-GB"/>
        </w:rPr>
        <w:t>Monitor and evaluate the effectiveness of campaigns and other communication/awareness activities</w:t>
      </w:r>
      <w:r w:rsidR="00D72271">
        <w:rPr>
          <w:rFonts w:eastAsia="Times New Roman" w:cstheme="minorHAnsi"/>
          <w:lang w:val="en-GB"/>
        </w:rPr>
        <w:t xml:space="preserve"> and</w:t>
      </w:r>
      <w:r w:rsidRPr="00546712">
        <w:rPr>
          <w:rFonts w:eastAsia="Times New Roman" w:cstheme="minorHAnsi"/>
          <w:lang w:val="en-GB"/>
        </w:rPr>
        <w:t xml:space="preserve"> provide subsequent reports</w:t>
      </w:r>
      <w:r w:rsidR="00D72271">
        <w:rPr>
          <w:rFonts w:eastAsia="Times New Roman" w:cstheme="minorHAnsi"/>
          <w:lang w:val="en-GB"/>
        </w:rPr>
        <w:t>.</w:t>
      </w:r>
      <w:r w:rsidRPr="00546712">
        <w:rPr>
          <w:rFonts w:eastAsia="Times New Roman" w:cstheme="minorHAnsi"/>
          <w:lang w:val="en-GB"/>
        </w:rPr>
        <w:t xml:space="preserve"> </w:t>
      </w:r>
    </w:p>
    <w:p w14:paraId="25E0AE44" w14:textId="77777777" w:rsidR="00D72271" w:rsidRDefault="00D72271" w:rsidP="00546712">
      <w:pPr>
        <w:spacing w:after="120"/>
        <w:contextualSpacing/>
        <w:jc w:val="both"/>
        <w:rPr>
          <w:rFonts w:eastAsia="Times New Roman" w:cstheme="minorHAnsi"/>
          <w:lang w:val="en-GB"/>
        </w:rPr>
      </w:pPr>
    </w:p>
    <w:p w14:paraId="63C2C5D0" w14:textId="02CA0203" w:rsidR="00546712" w:rsidRPr="00546712" w:rsidRDefault="00D72271" w:rsidP="00546712">
      <w:pPr>
        <w:spacing w:after="120"/>
        <w:contextualSpacing/>
        <w:jc w:val="both"/>
        <w:rPr>
          <w:rFonts w:eastAsia="Times New Roman" w:cstheme="minorHAnsi"/>
          <w:lang w:val="en-GB"/>
        </w:rPr>
      </w:pPr>
      <w:r>
        <w:rPr>
          <w:rFonts w:eastAsia="Times New Roman" w:cstheme="minorHAnsi"/>
          <w:lang w:val="en-GB"/>
        </w:rPr>
        <w:t>F</w:t>
      </w:r>
      <w:r w:rsidR="00546712" w:rsidRPr="00546712">
        <w:rPr>
          <w:rFonts w:eastAsia="Times New Roman" w:cstheme="minorHAnsi"/>
          <w:lang w:val="en-GB"/>
        </w:rPr>
        <w:t xml:space="preserve">ormulate recommendations for enhancement of engagement activities. </w:t>
      </w:r>
    </w:p>
    <w:p w14:paraId="422BAED4" w14:textId="77777777" w:rsidR="00546712" w:rsidRPr="00546712" w:rsidRDefault="00546712" w:rsidP="00546712">
      <w:pPr>
        <w:spacing w:after="120"/>
        <w:contextualSpacing/>
        <w:jc w:val="both"/>
        <w:rPr>
          <w:rFonts w:eastAsia="Times New Roman" w:cstheme="minorHAnsi"/>
          <w:lang w:val="en-GB"/>
        </w:rPr>
      </w:pPr>
    </w:p>
    <w:p w14:paraId="20DED4EF" w14:textId="77777777" w:rsidR="00546712" w:rsidRPr="00546712" w:rsidRDefault="00546712" w:rsidP="00546712">
      <w:pPr>
        <w:spacing w:after="120"/>
        <w:contextualSpacing/>
        <w:jc w:val="both"/>
        <w:rPr>
          <w:rFonts w:eastAsia="Times New Roman" w:cstheme="minorHAnsi"/>
          <w:b/>
          <w:bCs/>
          <w:lang w:val="en-GB"/>
        </w:rPr>
      </w:pPr>
      <w:r w:rsidRPr="00546712">
        <w:rPr>
          <w:rFonts w:eastAsia="Times New Roman" w:cstheme="minorHAnsi"/>
          <w:b/>
          <w:bCs/>
          <w:lang w:val="en-GB"/>
        </w:rPr>
        <w:t>Development of awareness-raising content</w:t>
      </w:r>
    </w:p>
    <w:p w14:paraId="2C9AC5B7" w14:textId="77777777" w:rsidR="00546712" w:rsidRPr="00546712" w:rsidRDefault="00546712" w:rsidP="00546712">
      <w:pPr>
        <w:spacing w:after="120"/>
        <w:contextualSpacing/>
        <w:jc w:val="both"/>
        <w:rPr>
          <w:rFonts w:eastAsia="Times New Roman" w:cstheme="minorHAnsi"/>
          <w:lang w:val="en-GB"/>
        </w:rPr>
      </w:pPr>
      <w:r w:rsidRPr="00546712">
        <w:rPr>
          <w:rFonts w:eastAsia="Times New Roman" w:cstheme="minorHAnsi"/>
          <w:lang w:val="en-GB"/>
        </w:rPr>
        <w:t>Conceptualize and manage creation of specific types of communications and knowledge management products (</w:t>
      </w:r>
      <w:proofErr w:type="gramStart"/>
      <w:r w:rsidRPr="00546712">
        <w:rPr>
          <w:rFonts w:eastAsia="Times New Roman" w:cstheme="minorHAnsi"/>
          <w:lang w:val="en-GB"/>
        </w:rPr>
        <w:t>e.g.</w:t>
      </w:r>
      <w:proofErr w:type="gramEnd"/>
      <w:r w:rsidRPr="00546712">
        <w:rPr>
          <w:rFonts w:eastAsia="Times New Roman" w:cstheme="minorHAnsi"/>
          <w:lang w:val="en-GB"/>
        </w:rPr>
        <w:t xml:space="preserve"> articles, blogs, Q&amp;As, evidence-based policy briefs, audio-visual materials, etc.) </w:t>
      </w:r>
    </w:p>
    <w:p w14:paraId="489FCC14" w14:textId="77777777" w:rsidR="00546712" w:rsidRPr="00546712" w:rsidRDefault="00546712" w:rsidP="00546712">
      <w:pPr>
        <w:spacing w:after="120"/>
        <w:contextualSpacing/>
        <w:jc w:val="both"/>
        <w:rPr>
          <w:rFonts w:cstheme="minorHAnsi"/>
          <w:lang w:val="en-GB"/>
        </w:rPr>
      </w:pPr>
    </w:p>
    <w:p w14:paraId="356509DC"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t>Institutional Arrangement</w:t>
      </w:r>
    </w:p>
    <w:p w14:paraId="00381AA9" w14:textId="7063A5A0" w:rsidR="00546712" w:rsidRDefault="00546712" w:rsidP="00546712">
      <w:pPr>
        <w:spacing w:after="120"/>
        <w:contextualSpacing/>
        <w:jc w:val="both"/>
        <w:rPr>
          <w:rFonts w:eastAsia="Times New Roman" w:cstheme="minorHAnsi"/>
          <w:lang w:val="en-GB"/>
        </w:rPr>
      </w:pPr>
      <w:r w:rsidRPr="00D72271">
        <w:rPr>
          <w:rFonts w:eastAsia="Times New Roman" w:cstheme="minorHAnsi"/>
          <w:lang w:val="en-GB"/>
        </w:rPr>
        <w:t>The Consultant(s) will report to a designated person by the division/programme/project that have hired him.</w:t>
      </w:r>
    </w:p>
    <w:p w14:paraId="39D5D4A0" w14:textId="77777777" w:rsidR="00D72271" w:rsidRPr="00D72271" w:rsidRDefault="00D72271" w:rsidP="00546712">
      <w:pPr>
        <w:spacing w:after="120"/>
        <w:contextualSpacing/>
        <w:jc w:val="both"/>
        <w:rPr>
          <w:rFonts w:eastAsia="Times New Roman" w:cstheme="minorHAnsi"/>
          <w:lang w:val="en-GB"/>
        </w:rPr>
      </w:pPr>
    </w:p>
    <w:p w14:paraId="036381CA" w14:textId="5B4ACE5F" w:rsidR="00546712" w:rsidRDefault="00546712" w:rsidP="00546712">
      <w:pPr>
        <w:spacing w:after="120"/>
        <w:contextualSpacing/>
        <w:jc w:val="both"/>
        <w:rPr>
          <w:rFonts w:eastAsia="Times New Roman" w:cstheme="minorHAnsi"/>
          <w:lang w:val="en-GB"/>
        </w:rPr>
      </w:pPr>
      <w:r w:rsidRPr="00D72271">
        <w:rPr>
          <w:rFonts w:eastAsia="Times New Roman" w:cstheme="minorHAnsi"/>
          <w:lang w:val="en-GB"/>
        </w:rPr>
        <w:t>The Consultant will work closely with a wide range of expert in different fields.</w:t>
      </w:r>
    </w:p>
    <w:p w14:paraId="5FDC00F4" w14:textId="77777777" w:rsidR="00D72271" w:rsidRPr="00D72271" w:rsidRDefault="00D72271" w:rsidP="00546712">
      <w:pPr>
        <w:spacing w:after="120"/>
        <w:contextualSpacing/>
        <w:jc w:val="both"/>
        <w:rPr>
          <w:rFonts w:eastAsia="Times New Roman" w:cstheme="minorHAnsi"/>
          <w:lang w:val="en-GB"/>
        </w:rPr>
      </w:pPr>
    </w:p>
    <w:p w14:paraId="1B76E54C" w14:textId="161D86CE" w:rsidR="00546712" w:rsidRDefault="00546712" w:rsidP="00546712">
      <w:pPr>
        <w:spacing w:after="120"/>
        <w:contextualSpacing/>
        <w:jc w:val="both"/>
        <w:rPr>
          <w:rFonts w:eastAsia="Times New Roman" w:cstheme="minorHAnsi"/>
          <w:lang w:val="en-GB"/>
        </w:rPr>
      </w:pPr>
      <w:r w:rsidRPr="00D72271">
        <w:rPr>
          <w:rFonts w:eastAsia="Times New Roman" w:cstheme="minorHAnsi"/>
          <w:lang w:val="en-GB"/>
        </w:rPr>
        <w:t>The Consultant will have primary responsibility for the completion of documented outputs.</w:t>
      </w:r>
    </w:p>
    <w:p w14:paraId="05C95179" w14:textId="77777777" w:rsidR="00D72271" w:rsidRPr="00D72271" w:rsidRDefault="00D72271" w:rsidP="00546712">
      <w:pPr>
        <w:spacing w:after="120"/>
        <w:contextualSpacing/>
        <w:jc w:val="both"/>
        <w:rPr>
          <w:rFonts w:eastAsia="Times New Roman" w:cstheme="minorHAnsi"/>
          <w:lang w:val="en-GB"/>
        </w:rPr>
      </w:pPr>
    </w:p>
    <w:p w14:paraId="3B475E53" w14:textId="77777777" w:rsidR="00546712" w:rsidRPr="00D72271" w:rsidRDefault="00546712" w:rsidP="00546712">
      <w:pPr>
        <w:spacing w:after="120"/>
        <w:contextualSpacing/>
        <w:jc w:val="both"/>
        <w:rPr>
          <w:rFonts w:eastAsia="Times New Roman" w:cstheme="minorHAnsi"/>
          <w:lang w:val="en-GB"/>
        </w:rPr>
      </w:pPr>
      <w:r w:rsidRPr="00D72271">
        <w:rPr>
          <w:rFonts w:eastAsia="Times New Roman" w:cstheme="minorHAnsi"/>
          <w:lang w:val="en-GB"/>
        </w:rPr>
        <w:t xml:space="preserve">The provision of data from SPC (if necessary) will be subject to strict data confidentiality agreements and data provided to the consultant cannot be retained at the end of the contract. </w:t>
      </w:r>
    </w:p>
    <w:p w14:paraId="3BFA7546" w14:textId="77777777" w:rsidR="00546712" w:rsidRPr="00546712" w:rsidRDefault="00546712" w:rsidP="00D72271">
      <w:pPr>
        <w:spacing w:after="120"/>
        <w:jc w:val="both"/>
        <w:rPr>
          <w:rFonts w:cstheme="minorHAnsi"/>
          <w:lang w:val="en-GB"/>
        </w:rPr>
      </w:pPr>
    </w:p>
    <w:p w14:paraId="1271DBCB"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t xml:space="preserve">Duration of the Work </w:t>
      </w:r>
    </w:p>
    <w:p w14:paraId="3509BAA9" w14:textId="1ABBEAAA" w:rsidR="00546712" w:rsidRPr="00D72271" w:rsidRDefault="00546712" w:rsidP="00546712">
      <w:pPr>
        <w:spacing w:after="120"/>
        <w:contextualSpacing/>
        <w:jc w:val="both"/>
        <w:rPr>
          <w:rFonts w:eastAsia="Times New Roman" w:cstheme="minorHAnsi"/>
          <w:lang w:val="en-GB"/>
        </w:rPr>
      </w:pPr>
      <w:r w:rsidRPr="00D72271">
        <w:rPr>
          <w:rFonts w:eastAsia="Times New Roman" w:cstheme="minorHAnsi"/>
          <w:lang w:val="en-GB"/>
        </w:rPr>
        <w:t>Preferred providers identified through this process will retain this status for a trial period of one year.</w:t>
      </w:r>
      <w:r w:rsidR="00D72271">
        <w:rPr>
          <w:rFonts w:eastAsia="Times New Roman" w:cstheme="minorHAnsi"/>
          <w:lang w:val="en-GB"/>
        </w:rPr>
        <w:t xml:space="preserve"> </w:t>
      </w:r>
      <w:r w:rsidRPr="00D72271">
        <w:rPr>
          <w:rFonts w:eastAsia="Times New Roman" w:cstheme="minorHAnsi"/>
          <w:lang w:val="en-GB"/>
        </w:rPr>
        <w:t xml:space="preserve">If their performance is deemed satisfactory during the trial period, their preferred supplier status can be extended for up to three additional years. </w:t>
      </w:r>
    </w:p>
    <w:p w14:paraId="514ABCE9" w14:textId="77777777" w:rsidR="00546712" w:rsidRPr="00546712" w:rsidRDefault="00546712" w:rsidP="00546712">
      <w:pPr>
        <w:pStyle w:val="Titre2"/>
        <w:spacing w:before="0" w:after="120"/>
        <w:ind w:left="360"/>
        <w:contextualSpacing/>
        <w:rPr>
          <w:rFonts w:asciiTheme="minorHAnsi" w:hAnsiTheme="minorHAnsi" w:cstheme="minorHAnsi"/>
          <w:b/>
          <w:bCs/>
          <w:color w:val="auto"/>
          <w:sz w:val="24"/>
          <w:szCs w:val="24"/>
          <w:lang w:val="en-GB"/>
        </w:rPr>
      </w:pPr>
    </w:p>
    <w:p w14:paraId="3B3E167A"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t>Duty Station</w:t>
      </w:r>
    </w:p>
    <w:p w14:paraId="57F12C5F" w14:textId="77777777" w:rsidR="00546712" w:rsidRPr="00546712" w:rsidRDefault="00546712" w:rsidP="00546712">
      <w:pPr>
        <w:spacing w:after="120"/>
        <w:jc w:val="both"/>
        <w:rPr>
          <w:rFonts w:cstheme="minorHAnsi"/>
          <w:lang w:val="en-GB"/>
        </w:rPr>
      </w:pPr>
      <w:r w:rsidRPr="00546712">
        <w:rPr>
          <w:rFonts w:cstheme="minorHAnsi"/>
          <w:lang w:val="en-GB"/>
        </w:rPr>
        <w:t>The preferred suppliers will generally be home based. Depending on the nature and extent of work, travel may be required. Economy class airfares and per diems at SPC rates, consistent with SPC travel policy, will be covered separately by SPC.</w:t>
      </w:r>
    </w:p>
    <w:p w14:paraId="5A40217C" w14:textId="683F63AF" w:rsidR="00546712" w:rsidRDefault="00546712" w:rsidP="00546712">
      <w:pPr>
        <w:pStyle w:val="Titre2"/>
        <w:spacing w:before="0" w:after="120"/>
        <w:contextualSpacing/>
        <w:rPr>
          <w:rFonts w:asciiTheme="minorHAnsi" w:hAnsiTheme="minorHAnsi" w:cstheme="minorHAnsi"/>
          <w:color w:val="auto"/>
          <w:lang w:val="en-GB"/>
        </w:rPr>
      </w:pPr>
    </w:p>
    <w:p w14:paraId="62E01833" w14:textId="77777777" w:rsidR="00FA49E9" w:rsidRPr="00FA49E9" w:rsidRDefault="00FA49E9" w:rsidP="00FA49E9">
      <w:pPr>
        <w:rPr>
          <w:lang w:val="en-GB" w:eastAsia="en-US"/>
        </w:rPr>
      </w:pPr>
    </w:p>
    <w:p w14:paraId="69517E3E" w14:textId="77777777" w:rsidR="00546712" w:rsidRPr="00546712" w:rsidRDefault="00546712" w:rsidP="00546712">
      <w:pPr>
        <w:pStyle w:val="Titre2"/>
        <w:numPr>
          <w:ilvl w:val="0"/>
          <w:numId w:val="19"/>
        </w:numPr>
        <w:spacing w:before="0" w:after="120" w:line="240" w:lineRule="auto"/>
        <w:contextualSpacing/>
        <w:rPr>
          <w:rFonts w:asciiTheme="minorHAnsi" w:hAnsiTheme="minorHAnsi" w:cstheme="minorHAnsi"/>
          <w:b/>
          <w:bCs/>
          <w:color w:val="auto"/>
          <w:sz w:val="24"/>
          <w:szCs w:val="24"/>
          <w:lang w:val="en-GB"/>
        </w:rPr>
      </w:pPr>
      <w:r w:rsidRPr="00546712">
        <w:rPr>
          <w:rFonts w:asciiTheme="minorHAnsi" w:hAnsiTheme="minorHAnsi" w:cstheme="minorHAnsi"/>
          <w:b/>
          <w:bCs/>
          <w:color w:val="auto"/>
          <w:sz w:val="24"/>
          <w:szCs w:val="24"/>
          <w:lang w:val="en-GB"/>
        </w:rPr>
        <w:lastRenderedPageBreak/>
        <w:t>Qualifications of the Successful Contractor</w:t>
      </w:r>
    </w:p>
    <w:tbl>
      <w:tblPr>
        <w:tblW w:w="0" w:type="auto"/>
        <w:tblInd w:w="-3" w:type="dxa"/>
        <w:tblCellMar>
          <w:left w:w="0" w:type="dxa"/>
          <w:right w:w="0" w:type="dxa"/>
        </w:tblCellMar>
        <w:tblLook w:val="04A0" w:firstRow="1" w:lastRow="0" w:firstColumn="1" w:lastColumn="0" w:noHBand="0" w:noVBand="1"/>
      </w:tblPr>
      <w:tblGrid>
        <w:gridCol w:w="5236"/>
        <w:gridCol w:w="1841"/>
        <w:gridCol w:w="1926"/>
      </w:tblGrid>
      <w:tr w:rsidR="00FA49E9" w14:paraId="13062101" w14:textId="77777777" w:rsidTr="0032584A">
        <w:tc>
          <w:tcPr>
            <w:tcW w:w="52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9322DD" w14:textId="77777777" w:rsidR="00FA49E9" w:rsidRDefault="00FA49E9" w:rsidP="00754CE7">
            <w:pPr>
              <w:spacing w:before="60" w:after="60"/>
              <w:contextualSpacing/>
              <w:jc w:val="center"/>
              <w:rPr>
                <w:rFonts w:eastAsiaTheme="minorHAnsi"/>
                <w:b/>
                <w:bCs/>
                <w:lang w:val="en-GB"/>
              </w:rPr>
            </w:pPr>
            <w:r>
              <w:rPr>
                <w:b/>
                <w:bCs/>
                <w:lang w:val="en-GB"/>
              </w:rPr>
              <w:t>Evaluation Criteria</w:t>
            </w:r>
          </w:p>
        </w:tc>
        <w:tc>
          <w:tcPr>
            <w:tcW w:w="18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AD56EC" w14:textId="77777777" w:rsidR="00FA49E9" w:rsidRDefault="00FA49E9" w:rsidP="00754CE7">
            <w:pPr>
              <w:spacing w:before="60" w:after="60"/>
              <w:contextualSpacing/>
              <w:jc w:val="center"/>
              <w:rPr>
                <w:b/>
                <w:bCs/>
                <w:lang w:val="en-GB" w:eastAsia="en-US"/>
              </w:rPr>
            </w:pPr>
            <w:r>
              <w:rPr>
                <w:b/>
                <w:bCs/>
                <w:color w:val="000000"/>
                <w:lang w:val="en-GB"/>
              </w:rPr>
              <w:t>Score weight (%)</w:t>
            </w:r>
          </w:p>
        </w:tc>
        <w:tc>
          <w:tcPr>
            <w:tcW w:w="19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EC5F04" w14:textId="77777777" w:rsidR="00FA49E9" w:rsidRDefault="00FA49E9" w:rsidP="00754CE7">
            <w:pPr>
              <w:spacing w:before="60" w:after="60"/>
              <w:contextualSpacing/>
              <w:jc w:val="center"/>
              <w:rPr>
                <w:b/>
                <w:bCs/>
                <w:lang w:val="en-GB"/>
              </w:rPr>
            </w:pPr>
            <w:r>
              <w:rPr>
                <w:b/>
                <w:bCs/>
                <w:color w:val="000000"/>
                <w:lang w:val="en-GB"/>
              </w:rPr>
              <w:t>Points obtainable</w:t>
            </w:r>
          </w:p>
        </w:tc>
      </w:tr>
      <w:tr w:rsidR="00FA49E9" w14:paraId="4A966788" w14:textId="77777777" w:rsidTr="0032584A">
        <w:tc>
          <w:tcPr>
            <w:tcW w:w="5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CE346" w14:textId="77777777" w:rsidR="00FA49E9" w:rsidRDefault="00FA49E9" w:rsidP="00754CE7">
            <w:pPr>
              <w:spacing w:before="60" w:after="60"/>
              <w:contextualSpacing/>
              <w:rPr>
                <w:lang w:val="en-GB"/>
              </w:rPr>
            </w:pPr>
            <w:r>
              <w:rPr>
                <w:lang w:val="en-GB"/>
              </w:rPr>
              <w:t>Demonstrated experience in developing communication campaigns and media engagement strategies.</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7F24F" w14:textId="77777777" w:rsidR="00FA49E9" w:rsidRDefault="00FA49E9" w:rsidP="00754CE7">
            <w:pPr>
              <w:spacing w:before="60" w:after="60"/>
              <w:contextualSpacing/>
              <w:jc w:val="center"/>
              <w:rPr>
                <w:lang w:val="en-GB"/>
              </w:rPr>
            </w:pPr>
            <w:r>
              <w:rPr>
                <w:lang w:val="en-GB"/>
              </w:rPr>
              <w:t>25 %</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7A089" w14:textId="77777777" w:rsidR="00FA49E9" w:rsidRDefault="00FA49E9" w:rsidP="00754CE7">
            <w:pPr>
              <w:spacing w:before="60" w:after="60"/>
              <w:contextualSpacing/>
              <w:jc w:val="center"/>
              <w:rPr>
                <w:lang w:val="en-GB"/>
              </w:rPr>
            </w:pPr>
            <w:r>
              <w:rPr>
                <w:lang w:val="en-GB"/>
              </w:rPr>
              <w:t>175</w:t>
            </w:r>
          </w:p>
        </w:tc>
      </w:tr>
      <w:tr w:rsidR="00FA49E9" w14:paraId="32351EA6" w14:textId="77777777" w:rsidTr="0032584A">
        <w:tc>
          <w:tcPr>
            <w:tcW w:w="5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EBC5A" w14:textId="77777777" w:rsidR="00FA49E9" w:rsidRDefault="00FA49E9" w:rsidP="00754CE7">
            <w:pPr>
              <w:spacing w:before="60" w:after="60"/>
              <w:contextualSpacing/>
              <w:rPr>
                <w:lang w:val="en-GB"/>
              </w:rPr>
            </w:pPr>
            <w:r>
              <w:rPr>
                <w:lang w:val="en-GB"/>
              </w:rPr>
              <w:t>Experience in monitoring and evaluating the effectiveness of campaigns and other communication/awareness activities.</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C8A68" w14:textId="77777777" w:rsidR="00FA49E9" w:rsidRDefault="00FA49E9" w:rsidP="00754CE7">
            <w:pPr>
              <w:spacing w:before="60" w:after="60"/>
              <w:contextualSpacing/>
              <w:jc w:val="center"/>
              <w:rPr>
                <w:lang w:val="en-GB"/>
              </w:rPr>
            </w:pPr>
            <w:r>
              <w:rPr>
                <w:lang w:val="en-GB"/>
              </w:rPr>
              <w:t>15 %</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69D17" w14:textId="77777777" w:rsidR="00FA49E9" w:rsidRDefault="00FA49E9" w:rsidP="00754CE7">
            <w:pPr>
              <w:spacing w:before="60" w:after="60"/>
              <w:contextualSpacing/>
              <w:jc w:val="center"/>
              <w:rPr>
                <w:lang w:val="en-GB"/>
              </w:rPr>
            </w:pPr>
            <w:r>
              <w:rPr>
                <w:lang w:val="en-GB"/>
              </w:rPr>
              <w:t>105</w:t>
            </w:r>
          </w:p>
        </w:tc>
      </w:tr>
      <w:tr w:rsidR="00FA49E9" w14:paraId="290185E4" w14:textId="77777777" w:rsidTr="0032584A">
        <w:tc>
          <w:tcPr>
            <w:tcW w:w="5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58EFC" w14:textId="77777777" w:rsidR="00FA49E9" w:rsidRDefault="00FA49E9" w:rsidP="00754CE7">
            <w:pPr>
              <w:spacing w:before="60" w:after="60"/>
              <w:contextualSpacing/>
              <w:rPr>
                <w:lang w:val="en-GB"/>
              </w:rPr>
            </w:pPr>
            <w:r>
              <w:rPr>
                <w:lang w:val="en-GB"/>
              </w:rPr>
              <w:t>Demonstrated experience in developing engagement strategies and awareness campaigns.</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B3ABB" w14:textId="77777777" w:rsidR="00FA49E9" w:rsidRDefault="00FA49E9" w:rsidP="00754CE7">
            <w:pPr>
              <w:spacing w:before="60" w:after="60"/>
              <w:contextualSpacing/>
              <w:jc w:val="center"/>
              <w:rPr>
                <w:lang w:val="en-GB"/>
              </w:rPr>
            </w:pPr>
            <w:r>
              <w:rPr>
                <w:lang w:val="en-GB"/>
              </w:rPr>
              <w:t>25 %</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8E1F7" w14:textId="77777777" w:rsidR="00FA49E9" w:rsidRDefault="00FA49E9" w:rsidP="00754CE7">
            <w:pPr>
              <w:spacing w:before="60" w:after="60"/>
              <w:contextualSpacing/>
              <w:jc w:val="center"/>
              <w:rPr>
                <w:lang w:val="en-GB"/>
              </w:rPr>
            </w:pPr>
            <w:r>
              <w:rPr>
                <w:lang w:val="en-GB"/>
              </w:rPr>
              <w:t>175</w:t>
            </w:r>
          </w:p>
        </w:tc>
      </w:tr>
      <w:tr w:rsidR="00FA49E9" w14:paraId="65AC0C0D" w14:textId="77777777" w:rsidTr="0032584A">
        <w:tc>
          <w:tcPr>
            <w:tcW w:w="5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A4868" w14:textId="77777777" w:rsidR="00FA49E9" w:rsidRDefault="00FA49E9" w:rsidP="00754CE7">
            <w:pPr>
              <w:spacing w:before="60" w:after="60"/>
              <w:contextualSpacing/>
              <w:rPr>
                <w:lang w:val="en-GB"/>
              </w:rPr>
            </w:pPr>
            <w:r>
              <w:rPr>
                <w:lang w:val="en-GB"/>
              </w:rPr>
              <w:t>Experience in conceptualizing and managing creation of specific types of communications and knowledge management products.</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89B0" w14:textId="77777777" w:rsidR="00FA49E9" w:rsidRDefault="00FA49E9" w:rsidP="00754CE7">
            <w:pPr>
              <w:spacing w:before="60" w:after="60"/>
              <w:contextualSpacing/>
              <w:jc w:val="center"/>
              <w:rPr>
                <w:lang w:val="en-GB"/>
              </w:rPr>
            </w:pPr>
            <w:r>
              <w:rPr>
                <w:lang w:val="en-GB"/>
              </w:rPr>
              <w:t>20 %</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6D87E" w14:textId="77777777" w:rsidR="00FA49E9" w:rsidRDefault="00FA49E9" w:rsidP="00754CE7">
            <w:pPr>
              <w:spacing w:before="60" w:after="60"/>
              <w:contextualSpacing/>
              <w:jc w:val="center"/>
              <w:rPr>
                <w:lang w:val="en-GB"/>
              </w:rPr>
            </w:pPr>
            <w:r>
              <w:rPr>
                <w:lang w:val="en-GB"/>
              </w:rPr>
              <w:t>140</w:t>
            </w:r>
          </w:p>
        </w:tc>
      </w:tr>
      <w:tr w:rsidR="00FA49E9" w14:paraId="2D0D1779" w14:textId="77777777" w:rsidTr="0032584A">
        <w:tc>
          <w:tcPr>
            <w:tcW w:w="5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7325D" w14:textId="77777777" w:rsidR="00FA49E9" w:rsidRDefault="00FA49E9" w:rsidP="00754CE7">
            <w:pPr>
              <w:spacing w:before="60" w:after="60"/>
              <w:contextualSpacing/>
              <w:rPr>
                <w:lang w:val="en-GB"/>
              </w:rPr>
            </w:pPr>
            <w:r>
              <w:rPr>
                <w:lang w:val="en-GB"/>
              </w:rPr>
              <w:t>Demonstrated experience in developing training plans and associated training/educational materials.</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3C517" w14:textId="77777777" w:rsidR="00FA49E9" w:rsidRDefault="00FA49E9" w:rsidP="00754CE7">
            <w:pPr>
              <w:spacing w:before="60" w:after="60"/>
              <w:contextualSpacing/>
              <w:jc w:val="center"/>
              <w:rPr>
                <w:lang w:val="en-GB"/>
              </w:rPr>
            </w:pPr>
            <w:r>
              <w:rPr>
                <w:lang w:val="en-GB"/>
              </w:rPr>
              <w:t>15 %</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D031D" w14:textId="77777777" w:rsidR="00FA49E9" w:rsidRDefault="00FA49E9" w:rsidP="00754CE7">
            <w:pPr>
              <w:spacing w:before="60" w:after="60"/>
              <w:contextualSpacing/>
              <w:jc w:val="center"/>
              <w:rPr>
                <w:lang w:val="en-GB"/>
              </w:rPr>
            </w:pPr>
            <w:r>
              <w:rPr>
                <w:lang w:val="en-GB"/>
              </w:rPr>
              <w:t>105</w:t>
            </w:r>
          </w:p>
        </w:tc>
      </w:tr>
      <w:tr w:rsidR="00FA49E9" w14:paraId="5E428A52" w14:textId="77777777" w:rsidTr="0032584A">
        <w:tc>
          <w:tcPr>
            <w:tcW w:w="523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4A4FAD" w14:textId="77777777" w:rsidR="00FA49E9" w:rsidRDefault="00FA49E9" w:rsidP="00754CE7">
            <w:pPr>
              <w:spacing w:before="60" w:after="60"/>
              <w:contextualSpacing/>
              <w:jc w:val="center"/>
              <w:rPr>
                <w:b/>
                <w:bCs/>
                <w:lang w:val="en-GB"/>
              </w:rPr>
            </w:pPr>
            <w:r>
              <w:rPr>
                <w:b/>
                <w:bCs/>
                <w:color w:val="000000"/>
                <w:lang w:val="en-GB"/>
              </w:rPr>
              <w:t>TOTAL</w:t>
            </w:r>
          </w:p>
        </w:tc>
        <w:tc>
          <w:tcPr>
            <w:tcW w:w="18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FDF8E11" w14:textId="77777777" w:rsidR="00FA49E9" w:rsidRDefault="00FA49E9" w:rsidP="00754CE7">
            <w:pPr>
              <w:spacing w:before="60" w:after="60"/>
              <w:contextualSpacing/>
              <w:jc w:val="center"/>
              <w:rPr>
                <w:b/>
                <w:bCs/>
                <w:lang w:val="en-GB"/>
              </w:rPr>
            </w:pPr>
            <w:r>
              <w:rPr>
                <w:b/>
                <w:bCs/>
                <w:color w:val="000000"/>
                <w:lang w:val="en-GB"/>
              </w:rPr>
              <w:t>100 %</w:t>
            </w:r>
          </w:p>
        </w:tc>
        <w:tc>
          <w:tcPr>
            <w:tcW w:w="19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5A036E" w14:textId="77777777" w:rsidR="00FA49E9" w:rsidRDefault="00FA49E9" w:rsidP="00754CE7">
            <w:pPr>
              <w:spacing w:before="60" w:after="60"/>
              <w:contextualSpacing/>
              <w:jc w:val="center"/>
              <w:rPr>
                <w:b/>
                <w:bCs/>
                <w:lang w:val="en-GB"/>
              </w:rPr>
            </w:pPr>
            <w:r>
              <w:rPr>
                <w:b/>
                <w:bCs/>
                <w:color w:val="000000"/>
                <w:lang w:val="en-GB"/>
              </w:rPr>
              <w:t>700</w:t>
            </w:r>
          </w:p>
        </w:tc>
      </w:tr>
      <w:tr w:rsidR="00FA49E9" w14:paraId="3D4D64A6" w14:textId="77777777" w:rsidTr="0032584A">
        <w:tc>
          <w:tcPr>
            <w:tcW w:w="523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C15344" w14:textId="77777777" w:rsidR="00FA49E9" w:rsidRDefault="00FA49E9" w:rsidP="00754CE7">
            <w:pPr>
              <w:spacing w:before="60" w:after="60"/>
              <w:contextualSpacing/>
              <w:jc w:val="center"/>
              <w:rPr>
                <w:b/>
                <w:bCs/>
                <w:lang w:val="en-GB"/>
              </w:rPr>
            </w:pPr>
            <w:r>
              <w:rPr>
                <w:b/>
                <w:bCs/>
                <w:color w:val="000000"/>
                <w:lang w:val="en-GB"/>
              </w:rPr>
              <w:t>Qualification Score</w:t>
            </w:r>
          </w:p>
        </w:tc>
        <w:tc>
          <w:tcPr>
            <w:tcW w:w="18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A42B9F" w14:textId="77777777" w:rsidR="00FA49E9" w:rsidRDefault="00FA49E9" w:rsidP="00754CE7">
            <w:pPr>
              <w:spacing w:before="60" w:after="60"/>
              <w:contextualSpacing/>
              <w:jc w:val="center"/>
              <w:rPr>
                <w:b/>
                <w:bCs/>
                <w:lang w:val="en-GB"/>
              </w:rPr>
            </w:pPr>
            <w:r>
              <w:rPr>
                <w:b/>
                <w:bCs/>
                <w:color w:val="000000"/>
                <w:lang w:val="en-GB"/>
              </w:rPr>
              <w:t>70 %</w:t>
            </w:r>
          </w:p>
        </w:tc>
        <w:tc>
          <w:tcPr>
            <w:tcW w:w="19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2A5D62" w14:textId="77777777" w:rsidR="00FA49E9" w:rsidRDefault="00FA49E9" w:rsidP="00754CE7">
            <w:pPr>
              <w:spacing w:before="60" w:after="60"/>
              <w:contextualSpacing/>
              <w:jc w:val="center"/>
              <w:rPr>
                <w:b/>
                <w:bCs/>
                <w:lang w:val="en-GB"/>
              </w:rPr>
            </w:pPr>
            <w:r>
              <w:rPr>
                <w:b/>
                <w:bCs/>
                <w:color w:val="000000"/>
                <w:lang w:val="en-GB"/>
              </w:rPr>
              <w:t>790</w:t>
            </w:r>
          </w:p>
        </w:tc>
      </w:tr>
    </w:tbl>
    <w:p w14:paraId="532BE23D" w14:textId="77777777" w:rsidR="00FA49E9" w:rsidRDefault="00FA49E9" w:rsidP="00FA49E9">
      <w:pPr>
        <w:spacing w:after="120"/>
        <w:contextualSpacing/>
        <w:jc w:val="both"/>
        <w:rPr>
          <w:rFonts w:eastAsia="Times New Roman" w:cstheme="minorHAnsi"/>
          <w:lang w:val="en-GB"/>
        </w:rPr>
      </w:pPr>
    </w:p>
    <w:sectPr w:rsidR="00FA49E9" w:rsidSect="00E15AA1">
      <w:pgSz w:w="11900" w:h="16840" w:code="9"/>
      <w:pgMar w:top="1440" w:right="1440" w:bottom="709" w:left="1440" w:header="34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2B9" w14:textId="77777777" w:rsidR="005A1EEB" w:rsidRDefault="005A1EEB" w:rsidP="006F303D">
      <w:pPr>
        <w:spacing w:after="0"/>
      </w:pPr>
      <w:r>
        <w:separator/>
      </w:r>
    </w:p>
  </w:endnote>
  <w:endnote w:type="continuationSeparator" w:id="0">
    <w:p w14:paraId="7803554A" w14:textId="77777777" w:rsidR="005A1EEB" w:rsidRDefault="005A1EEB"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8659" w14:textId="77777777" w:rsidR="005A1EEB" w:rsidRDefault="005A1EEB" w:rsidP="006F303D">
      <w:pPr>
        <w:spacing w:after="0"/>
      </w:pPr>
      <w:r>
        <w:separator/>
      </w:r>
    </w:p>
  </w:footnote>
  <w:footnote w:type="continuationSeparator" w:id="0">
    <w:p w14:paraId="45F8EA9E" w14:textId="77777777" w:rsidR="005A1EEB" w:rsidRDefault="005A1EEB"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241B"/>
    <w:rsid w:val="0007398E"/>
    <w:rsid w:val="00081A6E"/>
    <w:rsid w:val="00085656"/>
    <w:rsid w:val="00086661"/>
    <w:rsid w:val="000867BE"/>
    <w:rsid w:val="00096765"/>
    <w:rsid w:val="000A4024"/>
    <w:rsid w:val="000B2E58"/>
    <w:rsid w:val="000C3D10"/>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AED"/>
    <w:rsid w:val="00175A99"/>
    <w:rsid w:val="00186DD1"/>
    <w:rsid w:val="001906C2"/>
    <w:rsid w:val="00192B1C"/>
    <w:rsid w:val="0019477C"/>
    <w:rsid w:val="00194A1C"/>
    <w:rsid w:val="00195179"/>
    <w:rsid w:val="00196957"/>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0FF7"/>
    <w:rsid w:val="00472C71"/>
    <w:rsid w:val="00481898"/>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46712"/>
    <w:rsid w:val="005536BA"/>
    <w:rsid w:val="0055454C"/>
    <w:rsid w:val="00565225"/>
    <w:rsid w:val="00565A97"/>
    <w:rsid w:val="00565AFC"/>
    <w:rsid w:val="005715C7"/>
    <w:rsid w:val="005739E4"/>
    <w:rsid w:val="00592185"/>
    <w:rsid w:val="00595FCD"/>
    <w:rsid w:val="00596FE4"/>
    <w:rsid w:val="005A1EEB"/>
    <w:rsid w:val="005A24BC"/>
    <w:rsid w:val="005C17E4"/>
    <w:rsid w:val="005D2CA1"/>
    <w:rsid w:val="005D3F8B"/>
    <w:rsid w:val="005E2301"/>
    <w:rsid w:val="005E757B"/>
    <w:rsid w:val="005E7F46"/>
    <w:rsid w:val="005F19FB"/>
    <w:rsid w:val="005F1EC8"/>
    <w:rsid w:val="005F292F"/>
    <w:rsid w:val="005F5A23"/>
    <w:rsid w:val="00606680"/>
    <w:rsid w:val="00607191"/>
    <w:rsid w:val="00613ED4"/>
    <w:rsid w:val="00622140"/>
    <w:rsid w:val="00631887"/>
    <w:rsid w:val="0063400F"/>
    <w:rsid w:val="00635C7D"/>
    <w:rsid w:val="00645A5C"/>
    <w:rsid w:val="00651AA0"/>
    <w:rsid w:val="0065325D"/>
    <w:rsid w:val="00654092"/>
    <w:rsid w:val="006555A5"/>
    <w:rsid w:val="006556DC"/>
    <w:rsid w:val="0065692B"/>
    <w:rsid w:val="006660EA"/>
    <w:rsid w:val="00671B30"/>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9761F"/>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3BE0"/>
    <w:rsid w:val="009F46CA"/>
    <w:rsid w:val="009F5D11"/>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72271"/>
    <w:rsid w:val="00D80424"/>
    <w:rsid w:val="00D86520"/>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15AA1"/>
    <w:rsid w:val="00E232EB"/>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19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5D6F"/>
    <w:rsid w:val="00F96E61"/>
    <w:rsid w:val="00FA03DA"/>
    <w:rsid w:val="00FA2079"/>
    <w:rsid w:val="00FA49E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850</Words>
  <Characters>4681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26</cp:revision>
  <cp:lastPrinted>2021-05-11T23:27:00Z</cp:lastPrinted>
  <dcterms:created xsi:type="dcterms:W3CDTF">2021-05-03T04:01:00Z</dcterms:created>
  <dcterms:modified xsi:type="dcterms:W3CDTF">2021-05-11T23:28:00Z</dcterms:modified>
</cp:coreProperties>
</file>