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58" w:rsidRPr="002F45A1" w:rsidRDefault="002D5058" w:rsidP="002D50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bookmarkStart w:id="0" w:name="_GoBack"/>
      <w:bookmarkEnd w:id="0"/>
      <w:r w:rsidRPr="002F45A1">
        <w:rPr>
          <w:rFonts w:cstheme="minorHAnsi"/>
        </w:rPr>
        <w:tab/>
      </w:r>
      <w:r>
        <w:rPr>
          <w:rFonts w:cstheme="minorHAnsi"/>
          <w:b/>
        </w:rPr>
        <w:t>ANNEX X</w:t>
      </w:r>
    </w:p>
    <w:p w:rsidR="002D5058" w:rsidRPr="002F45A1" w:rsidRDefault="002D5058" w:rsidP="002D50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r w:rsidRPr="002F45A1">
        <w:rPr>
          <w:rFonts w:cstheme="minorHAnsi"/>
          <w:b/>
        </w:rPr>
        <w:t>HEALTH AND SAFETY QUESTIONAIRE</w:t>
      </w:r>
    </w:p>
    <w:p w:rsidR="002D5058" w:rsidRPr="002F45A1" w:rsidRDefault="002D5058" w:rsidP="002D50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2F45A1">
        <w:rPr>
          <w:rFonts w:cstheme="minorHAnsi"/>
          <w:i/>
        </w:rPr>
        <w:t xml:space="preserve">Request for Proposal (RFP) no.: </w:t>
      </w:r>
      <w:r>
        <w:rPr>
          <w:rFonts w:cstheme="minorHAnsi"/>
          <w:i/>
        </w:rPr>
        <w:t>19/047</w:t>
      </w:r>
    </w:p>
    <w:p w:rsidR="002D5058" w:rsidRPr="002F45A1" w:rsidRDefault="002D5058" w:rsidP="002D5058">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2F45A1">
        <w:rPr>
          <w:rFonts w:cstheme="minorHAnsi"/>
          <w:i/>
        </w:rPr>
        <w:t>Supply and Installation of Materials for the Water System Intake Pumping Station, AVGF Filter Tank, Concrete Storage Tank and Stand Pipe Assembly in Ngatpang State, Republic of Palau</w:t>
      </w:r>
    </w:p>
    <w:p w:rsidR="002D5058" w:rsidRPr="002F45A1" w:rsidRDefault="002D5058" w:rsidP="002D5058">
      <w:pPr>
        <w:spacing w:before="120" w:after="120"/>
        <w:ind w:left="0" w:firstLine="0"/>
        <w:rPr>
          <w:rFonts w:asciiTheme="minorHAnsi" w:eastAsiaTheme="majorEastAsia" w:hAnsiTheme="minorHAnsi" w:cstheme="minorHAnsi"/>
          <w:b/>
          <w:bCs/>
          <w:sz w:val="22"/>
        </w:rPr>
      </w:pPr>
      <w:r w:rsidRPr="002F45A1">
        <w:rPr>
          <w:rFonts w:asciiTheme="minorHAnsi" w:eastAsiaTheme="majorEastAsia" w:hAnsiTheme="minorHAnsi" w:cstheme="minorHAnsi"/>
          <w:b/>
          <w:bCs/>
          <w:sz w:val="22"/>
        </w:rPr>
        <w:t xml:space="preserve">Health and Safety Questionnaire </w:t>
      </w:r>
    </w:p>
    <w:p w:rsidR="002D5058" w:rsidRPr="002F45A1" w:rsidRDefault="002D5058" w:rsidP="002D5058">
      <w:pPr>
        <w:suppressAutoHyphens/>
        <w:ind w:left="-6"/>
        <w:rPr>
          <w:rFonts w:asciiTheme="minorHAnsi" w:hAnsiTheme="minorHAnsi" w:cstheme="minorHAnsi"/>
          <w:sz w:val="22"/>
          <w:lang w:eastAsia="en-NZ"/>
        </w:rPr>
      </w:pPr>
      <w:r w:rsidRPr="002F45A1">
        <w:rPr>
          <w:rFonts w:asciiTheme="minorHAnsi" w:hAnsiTheme="minorHAnsi" w:cstheme="minorHAnsi"/>
          <w:sz w:val="22"/>
          <w:lang w:eastAsia="en-NZ"/>
        </w:rPr>
        <w:t xml:space="preserve">Bidders shall complete the following Health and Safety Questionnaire and submit it with their tenders. </w:t>
      </w:r>
    </w:p>
    <w:tbl>
      <w:tblPr>
        <w:tblpPr w:leftFromText="180" w:rightFromText="180" w:vertAnchor="text" w:horzAnchor="margin" w:tblpY="3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1276"/>
        <w:gridCol w:w="1276"/>
      </w:tblGrid>
      <w:tr w:rsidR="002D5058" w:rsidRPr="002F45A1" w:rsidTr="00770A62">
        <w:trPr>
          <w:trHeight w:val="250"/>
        </w:trPr>
        <w:tc>
          <w:tcPr>
            <w:tcW w:w="10060" w:type="dxa"/>
            <w:gridSpan w:val="3"/>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b/>
                <w:sz w:val="22"/>
              </w:rPr>
              <w:t>Health and Safety Management</w:t>
            </w:r>
          </w:p>
        </w:tc>
      </w:tr>
      <w:tr w:rsidR="002D5058" w:rsidRPr="002F45A1" w:rsidTr="00770A62">
        <w:trPr>
          <w:trHeight w:val="250"/>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Is the bidder aware of its responsibilities relating to health and safety at work? In the absence of national Occupational Health and Safety legislation in Palau, reference is made to the Fiji Health and Safety at Work Act 1996</w:t>
            </w: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Yes </w:t>
            </w:r>
          </w:p>
        </w:tc>
        <w:tc>
          <w:tcPr>
            <w:tcW w:w="1276" w:type="dxa"/>
          </w:tcPr>
          <w:p w:rsidR="002D5058" w:rsidRPr="002F45A1" w:rsidRDefault="002D5058" w:rsidP="00770A62">
            <w:pPr>
              <w:spacing w:before="60" w:after="60"/>
              <w:jc w:val="left"/>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No </w:t>
            </w:r>
          </w:p>
        </w:tc>
      </w:tr>
      <w:tr w:rsidR="002D5058" w:rsidRPr="002F45A1" w:rsidTr="00770A62">
        <w:trPr>
          <w:trHeight w:val="250"/>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Does the bidder’s health and safety management systems comply with the Act in regards to the duties placed on the bidder as the Principal?</w:t>
            </w: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Yes </w:t>
            </w:r>
          </w:p>
        </w:tc>
        <w:tc>
          <w:tcPr>
            <w:tcW w:w="1276" w:type="dxa"/>
          </w:tcPr>
          <w:p w:rsidR="002D5058" w:rsidRPr="002F45A1" w:rsidRDefault="002D5058" w:rsidP="00770A62">
            <w:pPr>
              <w:spacing w:before="60" w:after="60"/>
              <w:jc w:val="left"/>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No </w:t>
            </w:r>
          </w:p>
        </w:tc>
      </w:tr>
      <w:tr w:rsidR="002D5058" w:rsidRPr="002F45A1" w:rsidTr="00770A62">
        <w:trPr>
          <w:trHeight w:val="115"/>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 xml:space="preserve">Does the bidder have written Health and Safety procedures in place? </w:t>
            </w: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Yes </w:t>
            </w:r>
          </w:p>
        </w:tc>
        <w:tc>
          <w:tcPr>
            <w:tcW w:w="1276" w:type="dxa"/>
          </w:tcPr>
          <w:p w:rsidR="002D5058" w:rsidRPr="002F45A1" w:rsidRDefault="002D5058" w:rsidP="00770A62">
            <w:pPr>
              <w:spacing w:before="60" w:after="60"/>
              <w:jc w:val="left"/>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No </w:t>
            </w:r>
          </w:p>
        </w:tc>
      </w:tr>
      <w:tr w:rsidR="002D5058" w:rsidRPr="002F45A1" w:rsidTr="00770A62">
        <w:trPr>
          <w:trHeight w:val="115"/>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If the bidder answered “yes” to the previous question, do the procedures clearly identify responsibilities and actions to be followed by its personnel?</w:t>
            </w: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Yes </w:t>
            </w:r>
          </w:p>
        </w:tc>
        <w:tc>
          <w:tcPr>
            <w:tcW w:w="1276" w:type="dxa"/>
          </w:tcPr>
          <w:p w:rsidR="002D5058" w:rsidRPr="002F45A1" w:rsidRDefault="002D5058" w:rsidP="00770A62">
            <w:pPr>
              <w:spacing w:before="60" w:after="60"/>
              <w:jc w:val="left"/>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No </w:t>
            </w:r>
          </w:p>
        </w:tc>
      </w:tr>
      <w:tr w:rsidR="002D5058" w:rsidRPr="002F45A1" w:rsidTr="00770A62">
        <w:trPr>
          <w:trHeight w:val="310"/>
        </w:trPr>
        <w:tc>
          <w:tcPr>
            <w:tcW w:w="10060" w:type="dxa"/>
            <w:gridSpan w:val="3"/>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b/>
                <w:sz w:val="22"/>
              </w:rPr>
              <w:t>Subcontractors</w:t>
            </w:r>
          </w:p>
        </w:tc>
      </w:tr>
      <w:tr w:rsidR="002D5058" w:rsidRPr="002F45A1" w:rsidTr="00770A62">
        <w:trPr>
          <w:trHeight w:val="310"/>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 xml:space="preserve">Does the bidder engage subcontractors? </w:t>
            </w:r>
          </w:p>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i/>
                <w:iCs/>
                <w:sz w:val="22"/>
              </w:rPr>
              <w:t xml:space="preserve">(If no, skip the remainder of this section and go straight to Training) </w:t>
            </w: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Yes </w:t>
            </w: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No </w:t>
            </w:r>
          </w:p>
        </w:tc>
      </w:tr>
      <w:tr w:rsidR="002D5058" w:rsidRPr="002F45A1" w:rsidTr="00770A62">
        <w:trPr>
          <w:trHeight w:val="310"/>
        </w:trPr>
        <w:tc>
          <w:tcPr>
            <w:tcW w:w="7508" w:type="dxa"/>
          </w:tcPr>
          <w:p w:rsidR="002D5058" w:rsidRPr="002F45A1" w:rsidRDefault="002D5058" w:rsidP="00770A62">
            <w:pPr>
              <w:spacing w:before="60" w:after="60"/>
              <w:rPr>
                <w:rFonts w:asciiTheme="minorHAnsi" w:hAnsiTheme="minorHAnsi" w:cstheme="minorHAnsi"/>
                <w:i/>
                <w:iCs/>
                <w:sz w:val="22"/>
              </w:rPr>
            </w:pPr>
            <w:r w:rsidRPr="002F45A1">
              <w:rPr>
                <w:rFonts w:asciiTheme="minorHAnsi" w:hAnsiTheme="minorHAnsi" w:cstheme="minorHAnsi"/>
                <w:sz w:val="22"/>
              </w:rPr>
              <w:t xml:space="preserve">Does the bidder audit and/or take responsibility to manage its subcontractors for health and safety on a regular basis? </w:t>
            </w:r>
            <w:r w:rsidRPr="002F45A1">
              <w:rPr>
                <w:rFonts w:asciiTheme="minorHAnsi" w:hAnsiTheme="minorHAnsi" w:cstheme="minorHAnsi"/>
                <w:i/>
                <w:iCs/>
                <w:sz w:val="22"/>
              </w:rPr>
              <w:t xml:space="preserve"> (if yes, please give details) </w:t>
            </w:r>
          </w:p>
          <w:p w:rsidR="002D5058" w:rsidRPr="002F45A1" w:rsidRDefault="002D5058" w:rsidP="00770A62">
            <w:pPr>
              <w:spacing w:before="60" w:after="60"/>
              <w:rPr>
                <w:rFonts w:asciiTheme="minorHAnsi" w:hAnsiTheme="minorHAnsi" w:cstheme="minorHAnsi"/>
                <w:sz w:val="22"/>
              </w:rPr>
            </w:pP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Yes </w:t>
            </w: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No </w:t>
            </w:r>
          </w:p>
        </w:tc>
      </w:tr>
      <w:tr w:rsidR="002D5058" w:rsidRPr="002F45A1" w:rsidTr="00770A62">
        <w:trPr>
          <w:trHeight w:val="115"/>
        </w:trPr>
        <w:tc>
          <w:tcPr>
            <w:tcW w:w="10060" w:type="dxa"/>
            <w:gridSpan w:val="3"/>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b/>
                <w:sz w:val="22"/>
              </w:rPr>
              <w:t>Training</w:t>
            </w:r>
          </w:p>
        </w:tc>
      </w:tr>
      <w:tr w:rsidR="002D5058" w:rsidRPr="002F45A1" w:rsidTr="00770A62">
        <w:trPr>
          <w:trHeight w:val="115"/>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 xml:space="preserve">Does the bidder have a health and safety induction/orientation programme for new workers and visitors to its site(s)? </w:t>
            </w: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Yes </w:t>
            </w: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No </w:t>
            </w:r>
          </w:p>
        </w:tc>
      </w:tr>
      <w:tr w:rsidR="002D5058" w:rsidRPr="002F45A1" w:rsidTr="00770A62">
        <w:trPr>
          <w:trHeight w:val="115"/>
        </w:trPr>
        <w:tc>
          <w:tcPr>
            <w:tcW w:w="10060" w:type="dxa"/>
            <w:gridSpan w:val="3"/>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b/>
                <w:sz w:val="22"/>
              </w:rPr>
              <w:t>Hazard Management</w:t>
            </w:r>
          </w:p>
        </w:tc>
      </w:tr>
      <w:tr w:rsidR="002D5058" w:rsidRPr="002F45A1" w:rsidTr="00770A62">
        <w:trPr>
          <w:trHeight w:val="115"/>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Does the bidder have a hazard register and procedures for advising, eliminating, isolating and minimising significant hazards?</w:t>
            </w: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Yes </w:t>
            </w:r>
          </w:p>
        </w:tc>
        <w:tc>
          <w:tcPr>
            <w:tcW w:w="1276"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sym w:font="Wingdings" w:char="F06F"/>
            </w:r>
            <w:r w:rsidRPr="002F45A1">
              <w:rPr>
                <w:rFonts w:asciiTheme="minorHAnsi" w:hAnsiTheme="minorHAnsi" w:cstheme="minorHAnsi"/>
                <w:sz w:val="22"/>
              </w:rPr>
              <w:t xml:space="preserve"> No</w:t>
            </w:r>
          </w:p>
        </w:tc>
      </w:tr>
      <w:tr w:rsidR="002D5058" w:rsidRPr="002F45A1" w:rsidTr="00770A62">
        <w:trPr>
          <w:trHeight w:val="115"/>
        </w:trPr>
        <w:tc>
          <w:tcPr>
            <w:tcW w:w="10060" w:type="dxa"/>
            <w:gridSpan w:val="3"/>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b/>
                <w:sz w:val="22"/>
              </w:rPr>
              <w:t>Accident Statistics</w:t>
            </w:r>
          </w:p>
        </w:tc>
      </w:tr>
      <w:tr w:rsidR="002D5058" w:rsidRPr="002F45A1" w:rsidTr="00770A62">
        <w:trPr>
          <w:trHeight w:val="115"/>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 xml:space="preserve">Number of workplace fatalities in the last 36 months: </w:t>
            </w:r>
          </w:p>
        </w:tc>
        <w:tc>
          <w:tcPr>
            <w:tcW w:w="2552" w:type="dxa"/>
            <w:gridSpan w:val="2"/>
          </w:tcPr>
          <w:p w:rsidR="002D5058" w:rsidRPr="002F45A1" w:rsidRDefault="002D5058" w:rsidP="00770A62">
            <w:pPr>
              <w:spacing w:before="60" w:after="60"/>
              <w:rPr>
                <w:rFonts w:asciiTheme="minorHAnsi" w:hAnsiTheme="minorHAnsi" w:cstheme="minorHAnsi"/>
                <w:sz w:val="22"/>
              </w:rPr>
            </w:pPr>
          </w:p>
        </w:tc>
      </w:tr>
      <w:tr w:rsidR="002D5058" w:rsidRPr="002F45A1" w:rsidTr="00770A62">
        <w:trPr>
          <w:trHeight w:val="115"/>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 xml:space="preserve">Number of serious harm workplace accidents in the last 36 months: </w:t>
            </w:r>
          </w:p>
        </w:tc>
        <w:tc>
          <w:tcPr>
            <w:tcW w:w="2552" w:type="dxa"/>
            <w:gridSpan w:val="2"/>
          </w:tcPr>
          <w:p w:rsidR="002D5058" w:rsidRPr="002F45A1" w:rsidRDefault="002D5058" w:rsidP="00770A62">
            <w:pPr>
              <w:spacing w:before="60" w:after="60"/>
              <w:rPr>
                <w:rFonts w:asciiTheme="minorHAnsi" w:hAnsiTheme="minorHAnsi" w:cstheme="minorHAnsi"/>
                <w:sz w:val="22"/>
              </w:rPr>
            </w:pPr>
          </w:p>
        </w:tc>
      </w:tr>
      <w:tr w:rsidR="002D5058" w:rsidRPr="002F45A1" w:rsidTr="00770A62">
        <w:trPr>
          <w:trHeight w:val="115"/>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Number of workplace accidents resulting in notifiable environmental damage or pollution in the last 36 months:</w:t>
            </w:r>
          </w:p>
        </w:tc>
        <w:tc>
          <w:tcPr>
            <w:tcW w:w="2552" w:type="dxa"/>
            <w:gridSpan w:val="2"/>
          </w:tcPr>
          <w:p w:rsidR="002D5058" w:rsidRPr="002F45A1" w:rsidRDefault="002D5058" w:rsidP="00770A62">
            <w:pPr>
              <w:spacing w:before="60" w:after="60"/>
              <w:rPr>
                <w:rFonts w:asciiTheme="minorHAnsi" w:hAnsiTheme="minorHAnsi" w:cstheme="minorHAnsi"/>
                <w:sz w:val="22"/>
              </w:rPr>
            </w:pPr>
          </w:p>
        </w:tc>
      </w:tr>
      <w:tr w:rsidR="002D5058" w:rsidRPr="002F45A1" w:rsidTr="00770A62">
        <w:trPr>
          <w:trHeight w:val="115"/>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Number of improvement notices, prohibition notices or prosecutions issued by the relevant regulating authority in the last 36 months:</w:t>
            </w:r>
          </w:p>
        </w:tc>
        <w:tc>
          <w:tcPr>
            <w:tcW w:w="2552" w:type="dxa"/>
            <w:gridSpan w:val="2"/>
          </w:tcPr>
          <w:p w:rsidR="002D5058" w:rsidRPr="002F45A1" w:rsidRDefault="002D5058" w:rsidP="00770A62">
            <w:pPr>
              <w:spacing w:before="60" w:after="60"/>
              <w:rPr>
                <w:rFonts w:asciiTheme="minorHAnsi" w:hAnsiTheme="minorHAnsi" w:cstheme="minorHAnsi"/>
                <w:sz w:val="22"/>
              </w:rPr>
            </w:pPr>
          </w:p>
        </w:tc>
      </w:tr>
      <w:tr w:rsidR="002D5058" w:rsidRPr="002F45A1" w:rsidTr="00770A62">
        <w:trPr>
          <w:trHeight w:val="115"/>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Number of instances of damage to power cables, water or gas mains in the last 36 months:</w:t>
            </w:r>
          </w:p>
        </w:tc>
        <w:tc>
          <w:tcPr>
            <w:tcW w:w="2552" w:type="dxa"/>
            <w:gridSpan w:val="2"/>
          </w:tcPr>
          <w:p w:rsidR="002D5058" w:rsidRPr="002F45A1" w:rsidRDefault="002D5058" w:rsidP="00770A62">
            <w:pPr>
              <w:spacing w:before="60" w:after="60"/>
              <w:rPr>
                <w:rFonts w:asciiTheme="minorHAnsi" w:hAnsiTheme="minorHAnsi" w:cstheme="minorHAnsi"/>
                <w:sz w:val="22"/>
              </w:rPr>
            </w:pPr>
          </w:p>
        </w:tc>
      </w:tr>
      <w:tr w:rsidR="002D5058" w:rsidRPr="002F45A1" w:rsidTr="00770A62">
        <w:trPr>
          <w:trHeight w:val="244"/>
        </w:trPr>
        <w:tc>
          <w:tcPr>
            <w:tcW w:w="7508" w:type="dxa"/>
          </w:tcPr>
          <w:p w:rsidR="002D5058" w:rsidRPr="002F45A1" w:rsidRDefault="002D5058" w:rsidP="00770A62">
            <w:pPr>
              <w:spacing w:before="60" w:after="60"/>
              <w:rPr>
                <w:rFonts w:asciiTheme="minorHAnsi" w:hAnsiTheme="minorHAnsi" w:cstheme="minorHAnsi"/>
                <w:sz w:val="22"/>
              </w:rPr>
            </w:pPr>
            <w:r w:rsidRPr="002F45A1">
              <w:rPr>
                <w:rFonts w:asciiTheme="minorHAnsi" w:hAnsiTheme="minorHAnsi" w:cstheme="minorHAnsi"/>
                <w:sz w:val="22"/>
              </w:rPr>
              <w:t>Average number of bidder employees per year to which above statistics apply:</w:t>
            </w:r>
          </w:p>
        </w:tc>
        <w:tc>
          <w:tcPr>
            <w:tcW w:w="2552" w:type="dxa"/>
            <w:gridSpan w:val="2"/>
          </w:tcPr>
          <w:p w:rsidR="002D5058" w:rsidRPr="002F45A1" w:rsidRDefault="002D5058" w:rsidP="00770A62">
            <w:pPr>
              <w:spacing w:before="60" w:after="60"/>
              <w:ind w:left="360"/>
              <w:rPr>
                <w:rFonts w:asciiTheme="minorHAnsi" w:hAnsiTheme="minorHAnsi" w:cstheme="minorHAnsi"/>
                <w:sz w:val="22"/>
              </w:rPr>
            </w:pPr>
          </w:p>
        </w:tc>
      </w:tr>
    </w:tbl>
    <w:p w:rsidR="002D5058" w:rsidRPr="002F45A1" w:rsidRDefault="002D5058" w:rsidP="002D5058">
      <w:pPr>
        <w:spacing w:after="160" w:line="259" w:lineRule="auto"/>
        <w:ind w:left="0" w:firstLine="0"/>
        <w:jc w:val="left"/>
        <w:rPr>
          <w:rFonts w:asciiTheme="minorHAnsi" w:hAnsiTheme="minorHAnsi" w:cstheme="minorHAnsi"/>
          <w:b/>
          <w:sz w:val="22"/>
        </w:rPr>
      </w:pPr>
    </w:p>
    <w:p w:rsidR="00764A55" w:rsidRPr="002D5058" w:rsidRDefault="00764A55" w:rsidP="0089706E"/>
    <w:sectPr w:rsidR="00764A55" w:rsidRPr="002D50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CE" w:rsidRDefault="00E239CE" w:rsidP="00631A51">
      <w:pPr>
        <w:spacing w:after="0" w:line="240" w:lineRule="auto"/>
      </w:pPr>
      <w:r>
        <w:separator/>
      </w:r>
    </w:p>
  </w:endnote>
  <w:endnote w:type="continuationSeparator" w:id="0">
    <w:p w:rsidR="00E239CE" w:rsidRDefault="00E239CE" w:rsidP="0063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CE" w:rsidRDefault="00E239CE" w:rsidP="00631A51">
      <w:pPr>
        <w:spacing w:after="0" w:line="240" w:lineRule="auto"/>
      </w:pPr>
      <w:r>
        <w:separator/>
      </w:r>
    </w:p>
  </w:footnote>
  <w:footnote w:type="continuationSeparator" w:id="0">
    <w:p w:rsidR="00E239CE" w:rsidRDefault="00E239CE" w:rsidP="00631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A2C"/>
    <w:multiLevelType w:val="hybridMultilevel"/>
    <w:tmpl w:val="50DEE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044944"/>
    <w:multiLevelType w:val="hybridMultilevel"/>
    <w:tmpl w:val="24123E6E"/>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C3C692B"/>
    <w:multiLevelType w:val="hybridMultilevel"/>
    <w:tmpl w:val="E3B65C3A"/>
    <w:lvl w:ilvl="0" w:tplc="7B46CDD0">
      <w:start w:val="1"/>
      <w:numFmt w:val="decimal"/>
      <w:lvlText w:val="%1."/>
      <w:lvlJc w:val="left"/>
      <w:pPr>
        <w:ind w:left="720" w:hanging="360"/>
      </w:pPr>
    </w:lvl>
    <w:lvl w:ilvl="1" w:tplc="57C22B02" w:tentative="1">
      <w:start w:val="1"/>
      <w:numFmt w:val="lowerLetter"/>
      <w:lvlText w:val="%2."/>
      <w:lvlJc w:val="left"/>
      <w:pPr>
        <w:ind w:left="1440" w:hanging="360"/>
      </w:pPr>
    </w:lvl>
    <w:lvl w:ilvl="2" w:tplc="47B8F2B4" w:tentative="1">
      <w:start w:val="1"/>
      <w:numFmt w:val="lowerRoman"/>
      <w:lvlText w:val="%3."/>
      <w:lvlJc w:val="right"/>
      <w:pPr>
        <w:ind w:left="2160" w:hanging="180"/>
      </w:pPr>
    </w:lvl>
    <w:lvl w:ilvl="3" w:tplc="7B9A3714">
      <w:start w:val="1"/>
      <w:numFmt w:val="decimal"/>
      <w:lvlText w:val="%4."/>
      <w:lvlJc w:val="left"/>
      <w:pPr>
        <w:ind w:left="2880" w:hanging="360"/>
      </w:pPr>
    </w:lvl>
    <w:lvl w:ilvl="4" w:tplc="6D4219E4" w:tentative="1">
      <w:start w:val="1"/>
      <w:numFmt w:val="lowerLetter"/>
      <w:lvlText w:val="%5."/>
      <w:lvlJc w:val="left"/>
      <w:pPr>
        <w:ind w:left="3600" w:hanging="360"/>
      </w:pPr>
    </w:lvl>
    <w:lvl w:ilvl="5" w:tplc="C3FC1E06" w:tentative="1">
      <w:start w:val="1"/>
      <w:numFmt w:val="lowerRoman"/>
      <w:lvlText w:val="%6."/>
      <w:lvlJc w:val="right"/>
      <w:pPr>
        <w:ind w:left="4320" w:hanging="180"/>
      </w:pPr>
    </w:lvl>
    <w:lvl w:ilvl="6" w:tplc="1B72570E" w:tentative="1">
      <w:start w:val="1"/>
      <w:numFmt w:val="decimal"/>
      <w:lvlText w:val="%7."/>
      <w:lvlJc w:val="left"/>
      <w:pPr>
        <w:ind w:left="5040" w:hanging="360"/>
      </w:pPr>
    </w:lvl>
    <w:lvl w:ilvl="7" w:tplc="0C546A5E" w:tentative="1">
      <w:start w:val="1"/>
      <w:numFmt w:val="lowerLetter"/>
      <w:lvlText w:val="%8."/>
      <w:lvlJc w:val="left"/>
      <w:pPr>
        <w:ind w:left="5760" w:hanging="360"/>
      </w:pPr>
    </w:lvl>
    <w:lvl w:ilvl="8" w:tplc="1400A59C" w:tentative="1">
      <w:start w:val="1"/>
      <w:numFmt w:val="lowerRoman"/>
      <w:lvlText w:val="%9."/>
      <w:lvlJc w:val="right"/>
      <w:pPr>
        <w:ind w:left="6480" w:hanging="180"/>
      </w:pPr>
    </w:lvl>
  </w:abstractNum>
  <w:abstractNum w:abstractNumId="3" w15:restartNumberingAfterBreak="0">
    <w:nsid w:val="553225E0"/>
    <w:multiLevelType w:val="hybridMultilevel"/>
    <w:tmpl w:val="CA861E4A"/>
    <w:lvl w:ilvl="0" w:tplc="0C090009">
      <w:start w:val="1"/>
      <w:numFmt w:val="bullet"/>
      <w:lvlText w:val=""/>
      <w:lvlJc w:val="left"/>
      <w:pPr>
        <w:ind w:left="909" w:hanging="360"/>
      </w:pPr>
      <w:rPr>
        <w:rFonts w:ascii="Wingdings" w:hAnsi="Wingdings" w:hint="default"/>
      </w:rPr>
    </w:lvl>
    <w:lvl w:ilvl="1" w:tplc="0C090003" w:tentative="1">
      <w:start w:val="1"/>
      <w:numFmt w:val="bullet"/>
      <w:lvlText w:val="o"/>
      <w:lvlJc w:val="left"/>
      <w:pPr>
        <w:ind w:left="1629" w:hanging="360"/>
      </w:pPr>
      <w:rPr>
        <w:rFonts w:ascii="Courier New" w:hAnsi="Courier New" w:cs="Courier New" w:hint="default"/>
      </w:rPr>
    </w:lvl>
    <w:lvl w:ilvl="2" w:tplc="0C090005" w:tentative="1">
      <w:start w:val="1"/>
      <w:numFmt w:val="bullet"/>
      <w:lvlText w:val=""/>
      <w:lvlJc w:val="left"/>
      <w:pPr>
        <w:ind w:left="2349" w:hanging="360"/>
      </w:pPr>
      <w:rPr>
        <w:rFonts w:ascii="Wingdings" w:hAnsi="Wingdings" w:hint="default"/>
      </w:rPr>
    </w:lvl>
    <w:lvl w:ilvl="3" w:tplc="0C090001" w:tentative="1">
      <w:start w:val="1"/>
      <w:numFmt w:val="bullet"/>
      <w:lvlText w:val=""/>
      <w:lvlJc w:val="left"/>
      <w:pPr>
        <w:ind w:left="3069" w:hanging="360"/>
      </w:pPr>
      <w:rPr>
        <w:rFonts w:ascii="Symbol" w:hAnsi="Symbol" w:hint="default"/>
      </w:rPr>
    </w:lvl>
    <w:lvl w:ilvl="4" w:tplc="0C090003" w:tentative="1">
      <w:start w:val="1"/>
      <w:numFmt w:val="bullet"/>
      <w:lvlText w:val="o"/>
      <w:lvlJc w:val="left"/>
      <w:pPr>
        <w:ind w:left="3789" w:hanging="360"/>
      </w:pPr>
      <w:rPr>
        <w:rFonts w:ascii="Courier New" w:hAnsi="Courier New" w:cs="Courier New" w:hint="default"/>
      </w:rPr>
    </w:lvl>
    <w:lvl w:ilvl="5" w:tplc="0C090005" w:tentative="1">
      <w:start w:val="1"/>
      <w:numFmt w:val="bullet"/>
      <w:lvlText w:val=""/>
      <w:lvlJc w:val="left"/>
      <w:pPr>
        <w:ind w:left="4509" w:hanging="360"/>
      </w:pPr>
      <w:rPr>
        <w:rFonts w:ascii="Wingdings" w:hAnsi="Wingdings" w:hint="default"/>
      </w:rPr>
    </w:lvl>
    <w:lvl w:ilvl="6" w:tplc="0C090001" w:tentative="1">
      <w:start w:val="1"/>
      <w:numFmt w:val="bullet"/>
      <w:lvlText w:val=""/>
      <w:lvlJc w:val="left"/>
      <w:pPr>
        <w:ind w:left="5229" w:hanging="360"/>
      </w:pPr>
      <w:rPr>
        <w:rFonts w:ascii="Symbol" w:hAnsi="Symbol" w:hint="default"/>
      </w:rPr>
    </w:lvl>
    <w:lvl w:ilvl="7" w:tplc="0C090003" w:tentative="1">
      <w:start w:val="1"/>
      <w:numFmt w:val="bullet"/>
      <w:lvlText w:val="o"/>
      <w:lvlJc w:val="left"/>
      <w:pPr>
        <w:ind w:left="5949" w:hanging="360"/>
      </w:pPr>
      <w:rPr>
        <w:rFonts w:ascii="Courier New" w:hAnsi="Courier New" w:cs="Courier New" w:hint="default"/>
      </w:rPr>
    </w:lvl>
    <w:lvl w:ilvl="8" w:tplc="0C090005" w:tentative="1">
      <w:start w:val="1"/>
      <w:numFmt w:val="bullet"/>
      <w:lvlText w:val=""/>
      <w:lvlJc w:val="left"/>
      <w:pPr>
        <w:ind w:left="6669" w:hanging="360"/>
      </w:pPr>
      <w:rPr>
        <w:rFonts w:ascii="Wingdings" w:hAnsi="Wingdings" w:hint="default"/>
      </w:rPr>
    </w:lvl>
  </w:abstractNum>
  <w:abstractNum w:abstractNumId="4" w15:restartNumberingAfterBreak="0">
    <w:nsid w:val="60991632"/>
    <w:multiLevelType w:val="hybridMultilevel"/>
    <w:tmpl w:val="777689C6"/>
    <w:lvl w:ilvl="0" w:tplc="08090003">
      <w:start w:val="1"/>
      <w:numFmt w:val="decimal"/>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55"/>
    <w:rsid w:val="002D5058"/>
    <w:rsid w:val="00631A51"/>
    <w:rsid w:val="00764A55"/>
    <w:rsid w:val="0089706E"/>
    <w:rsid w:val="00BF2B3D"/>
    <w:rsid w:val="00CD5910"/>
    <w:rsid w:val="00D2155E"/>
    <w:rsid w:val="00DC6553"/>
    <w:rsid w:val="00E23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B69F-74CA-415B-B839-B9C8167E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55"/>
    <w:pPr>
      <w:spacing w:after="3" w:line="247" w:lineRule="auto"/>
      <w:ind w:left="370" w:hanging="10"/>
      <w:jc w:val="both"/>
    </w:pPr>
    <w:rPr>
      <w:rFonts w:ascii="Times New Roman" w:eastAsia="Times New Roman" w:hAnsi="Times New Roman" w:cs="Times New Roman"/>
      <w:color w:val="000000"/>
      <w:sz w:val="24"/>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4A5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64A55"/>
    <w:pPr>
      <w:spacing w:after="0" w:line="240" w:lineRule="auto"/>
    </w:pPr>
  </w:style>
  <w:style w:type="character" w:customStyle="1" w:styleId="SansinterligneCar">
    <w:name w:val="Sans interligne Car"/>
    <w:link w:val="Sansinterligne"/>
    <w:uiPriority w:val="1"/>
    <w:rsid w:val="00764A55"/>
  </w:style>
  <w:style w:type="paragraph" w:styleId="Paragraphedeliste">
    <w:name w:val="List Paragraph"/>
    <w:aliases w:val="Single bullet style,List Paragraph1,List Paragraph nowy,Bullets,List Paragraph (numbered (a)),Numbered List Paragraph,Recommendation,List Paragraph11,123 List Paragraph,Bullet List"/>
    <w:basedOn w:val="Normal"/>
    <w:link w:val="ParagraphedelisteCar"/>
    <w:uiPriority w:val="34"/>
    <w:qFormat/>
    <w:rsid w:val="00631A51"/>
    <w:pPr>
      <w:ind w:left="720"/>
      <w:contextualSpacing/>
    </w:p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locked/>
    <w:rsid w:val="00631A51"/>
    <w:rPr>
      <w:rFonts w:ascii="Times New Roman" w:eastAsia="Times New Roman" w:hAnsi="Times New Roman" w:cs="Times New Roman"/>
      <w:color w:val="000000"/>
      <w:sz w:val="24"/>
      <w:lang w:eastAsia="en-AU"/>
    </w:r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631A51"/>
    <w:pPr>
      <w:spacing w:after="0" w:line="240" w:lineRule="auto"/>
      <w:ind w:left="0" w:firstLine="0"/>
      <w:jc w:val="left"/>
    </w:pPr>
    <w:rPr>
      <w:rFonts w:ascii="Arial" w:hAnsi="Arial"/>
      <w:color w:val="auto"/>
      <w:sz w:val="20"/>
      <w:szCs w:val="20"/>
      <w:lang w:val="en-US" w:eastAsia="en-US"/>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631A51"/>
    <w:rPr>
      <w:rFonts w:ascii="Arial" w:eastAsia="Times New Roman" w:hAnsi="Arial" w:cs="Times New Roman"/>
      <w:sz w:val="20"/>
      <w:szCs w:val="20"/>
      <w:lang w:val="en-US"/>
    </w:rPr>
  </w:style>
  <w:style w:type="table" w:customStyle="1" w:styleId="TableGrid14">
    <w:name w:val="Table Grid14"/>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2019-06-19T21:53:00Z</dcterms:created>
  <dcterms:modified xsi:type="dcterms:W3CDTF">2019-06-19T21:53:00Z</dcterms:modified>
</cp:coreProperties>
</file>