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989" w:rsidRPr="00F12F19" w:rsidRDefault="00305989" w:rsidP="00305989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shd w:val="clear" w:color="auto" w:fill="BFBFBF"/>
        <w:ind w:left="567" w:right="560"/>
        <w:jc w:val="right"/>
        <w:rPr>
          <w:rFonts w:asciiTheme="majorHAnsi" w:hAnsiTheme="majorHAnsi" w:cstheme="majorHAnsi"/>
          <w:b/>
          <w:color w:val="000000"/>
          <w:szCs w:val="22"/>
          <w:lang w:val="en-GB"/>
        </w:rPr>
      </w:pPr>
      <w:r w:rsidRPr="00F12F19">
        <w:rPr>
          <w:rFonts w:asciiTheme="majorHAnsi" w:hAnsiTheme="majorHAnsi" w:cstheme="majorHAnsi"/>
          <w:b/>
          <w:color w:val="000000"/>
          <w:szCs w:val="22"/>
          <w:lang w:val="en-GB"/>
        </w:rPr>
        <w:t>ANNEX V</w:t>
      </w:r>
    </w:p>
    <w:p w:rsidR="00305989" w:rsidRPr="00F12F19" w:rsidRDefault="00305989" w:rsidP="00305989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shd w:val="clear" w:color="auto" w:fill="BFBFBF"/>
        <w:ind w:left="567" w:right="560"/>
        <w:contextualSpacing/>
        <w:jc w:val="center"/>
        <w:rPr>
          <w:rFonts w:asciiTheme="majorHAnsi" w:hAnsiTheme="majorHAnsi" w:cstheme="majorHAnsi"/>
          <w:b/>
          <w:color w:val="000000"/>
          <w:szCs w:val="22"/>
          <w:u w:val="single"/>
          <w:lang w:val="en-GB"/>
        </w:rPr>
      </w:pPr>
      <w:r w:rsidRPr="00F12F19">
        <w:rPr>
          <w:rFonts w:asciiTheme="majorHAnsi" w:hAnsiTheme="majorHAnsi" w:cstheme="majorHAnsi"/>
          <w:b/>
          <w:color w:val="000000"/>
          <w:szCs w:val="22"/>
          <w:u w:val="single"/>
          <w:lang w:val="en-GB"/>
        </w:rPr>
        <w:t>FINANCIAL PROPOSAL SUBMISSION FORM</w:t>
      </w:r>
    </w:p>
    <w:p w:rsidR="00305989" w:rsidRPr="00F12F19" w:rsidRDefault="00305989" w:rsidP="00305989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shd w:val="clear" w:color="auto" w:fill="BFBFBF"/>
        <w:ind w:left="567" w:right="560"/>
        <w:contextualSpacing/>
        <w:jc w:val="center"/>
        <w:rPr>
          <w:rFonts w:asciiTheme="majorHAnsi" w:hAnsiTheme="majorHAnsi" w:cstheme="majorHAnsi"/>
          <w:i/>
          <w:color w:val="000000"/>
          <w:szCs w:val="22"/>
          <w:lang w:val="en-GB"/>
        </w:rPr>
      </w:pPr>
      <w:r w:rsidRPr="00F12F19">
        <w:rPr>
          <w:rFonts w:asciiTheme="majorHAnsi" w:hAnsiTheme="majorHAnsi" w:cstheme="majorHAnsi"/>
          <w:i/>
          <w:color w:val="000000"/>
          <w:szCs w:val="22"/>
          <w:lang w:val="en-GB"/>
        </w:rPr>
        <w:t>Request for Proposal (RFP) no: RFP 19-0</w:t>
      </w:r>
      <w:r>
        <w:rPr>
          <w:rFonts w:asciiTheme="majorHAnsi" w:hAnsiTheme="majorHAnsi" w:cstheme="majorHAnsi"/>
          <w:i/>
          <w:color w:val="000000"/>
          <w:szCs w:val="22"/>
          <w:lang w:val="en-GB"/>
        </w:rPr>
        <w:t>54</w:t>
      </w:r>
    </w:p>
    <w:p w:rsidR="00305989" w:rsidRPr="00112CCD" w:rsidRDefault="00305989" w:rsidP="00305989">
      <w:pPr>
        <w:ind w:left="567" w:right="560"/>
        <w:rPr>
          <w:rFonts w:ascii="Calibri" w:hAnsi="Calibri" w:cs="Calibri"/>
          <w:bCs/>
          <w:szCs w:val="22"/>
          <w:lang w:val="en-GB" w:eastAsia="en-AU"/>
        </w:rPr>
      </w:pPr>
    </w:p>
    <w:p w:rsidR="00305989" w:rsidRPr="00112CCD" w:rsidRDefault="00305989" w:rsidP="00305989">
      <w:pPr>
        <w:ind w:left="567" w:right="560"/>
        <w:rPr>
          <w:rFonts w:ascii="Calibri" w:hAnsi="Calibri" w:cs="Calibri"/>
          <w:bCs/>
          <w:szCs w:val="22"/>
          <w:lang w:val="en-GB" w:eastAsia="en-AU"/>
        </w:rPr>
      </w:pPr>
    </w:p>
    <w:p w:rsidR="00305989" w:rsidRPr="00112CCD" w:rsidRDefault="00305989" w:rsidP="00305989">
      <w:pPr>
        <w:pStyle w:val="Paragraphedeliste"/>
        <w:numPr>
          <w:ilvl w:val="0"/>
          <w:numId w:val="1"/>
        </w:numPr>
        <w:ind w:left="567" w:right="560"/>
        <w:jc w:val="center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GB"/>
        </w:rPr>
        <w:t>Schedule of rates</w:t>
      </w:r>
    </w:p>
    <w:p w:rsidR="00305989" w:rsidRPr="00112CCD" w:rsidRDefault="00305989" w:rsidP="00305989">
      <w:pPr>
        <w:pStyle w:val="Paragraphedeliste"/>
        <w:ind w:left="567" w:right="560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73"/>
        <w:gridCol w:w="2343"/>
      </w:tblGrid>
      <w:tr w:rsidR="00305989" w:rsidRPr="00112CCD" w:rsidTr="009C00A8">
        <w:trPr>
          <w:jc w:val="center"/>
        </w:trPr>
        <w:tc>
          <w:tcPr>
            <w:tcW w:w="7241" w:type="dxa"/>
            <w:shd w:val="clear" w:color="auto" w:fill="B4C6E7" w:themeFill="accent5" w:themeFillTint="66"/>
          </w:tcPr>
          <w:p w:rsidR="00305989" w:rsidRPr="00112CCD" w:rsidRDefault="00305989" w:rsidP="009C00A8">
            <w:pPr>
              <w:spacing w:line="480" w:lineRule="auto"/>
              <w:ind w:left="567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  <w:r w:rsidRPr="00112CCD"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  <w:t>ITEM:</w:t>
            </w:r>
          </w:p>
        </w:tc>
        <w:tc>
          <w:tcPr>
            <w:tcW w:w="2393" w:type="dxa"/>
            <w:shd w:val="clear" w:color="auto" w:fill="B4C6E7" w:themeFill="accent5" w:themeFillTint="66"/>
          </w:tcPr>
          <w:p w:rsidR="00305989" w:rsidRPr="00112CCD" w:rsidRDefault="00305989" w:rsidP="009C00A8">
            <w:pPr>
              <w:spacing w:line="480" w:lineRule="auto"/>
              <w:ind w:left="567" w:right="560"/>
              <w:jc w:val="center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  <w:r w:rsidRPr="00112CCD"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  <w:t>COST in EUROS</w:t>
            </w:r>
          </w:p>
        </w:tc>
      </w:tr>
      <w:tr w:rsidR="00305989" w:rsidRPr="00112CCD" w:rsidTr="009C00A8">
        <w:trPr>
          <w:jc w:val="center"/>
        </w:trPr>
        <w:tc>
          <w:tcPr>
            <w:tcW w:w="7241" w:type="dxa"/>
          </w:tcPr>
          <w:p w:rsidR="00305989" w:rsidRPr="00112CCD" w:rsidRDefault="00305989" w:rsidP="009C00A8">
            <w:pPr>
              <w:spacing w:before="240" w:line="600" w:lineRule="auto"/>
              <w:ind w:left="164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  <w:t>Risk assessment and management</w:t>
            </w:r>
          </w:p>
        </w:tc>
        <w:tc>
          <w:tcPr>
            <w:tcW w:w="2393" w:type="dxa"/>
            <w:shd w:val="clear" w:color="auto" w:fill="C5E0B3" w:themeFill="accent6" w:themeFillTint="66"/>
          </w:tcPr>
          <w:p w:rsidR="00305989" w:rsidRPr="00112CCD" w:rsidRDefault="00305989" w:rsidP="009C00A8">
            <w:pPr>
              <w:spacing w:before="240" w:line="600" w:lineRule="auto"/>
              <w:ind w:left="567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</w:p>
        </w:tc>
      </w:tr>
      <w:tr w:rsidR="00305989" w:rsidRPr="00112CCD" w:rsidTr="009C00A8">
        <w:trPr>
          <w:jc w:val="center"/>
        </w:trPr>
        <w:tc>
          <w:tcPr>
            <w:tcW w:w="7241" w:type="dxa"/>
          </w:tcPr>
          <w:p w:rsidR="00305989" w:rsidRPr="00112CCD" w:rsidRDefault="00305989" w:rsidP="009C00A8">
            <w:pPr>
              <w:spacing w:before="240" w:line="600" w:lineRule="auto"/>
              <w:ind w:left="164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  <w:t>Forensics, log analysis, investigation, and incident response</w:t>
            </w:r>
          </w:p>
        </w:tc>
        <w:tc>
          <w:tcPr>
            <w:tcW w:w="2393" w:type="dxa"/>
            <w:shd w:val="clear" w:color="auto" w:fill="C5E0B3" w:themeFill="accent6" w:themeFillTint="66"/>
          </w:tcPr>
          <w:p w:rsidR="00305989" w:rsidRPr="00112CCD" w:rsidRDefault="00305989" w:rsidP="009C00A8">
            <w:pPr>
              <w:spacing w:before="240" w:line="600" w:lineRule="auto"/>
              <w:ind w:left="567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</w:p>
        </w:tc>
      </w:tr>
      <w:tr w:rsidR="00305989" w:rsidRPr="00112CCD" w:rsidTr="009C00A8">
        <w:trPr>
          <w:jc w:val="center"/>
        </w:trPr>
        <w:tc>
          <w:tcPr>
            <w:tcW w:w="7241" w:type="dxa"/>
          </w:tcPr>
          <w:p w:rsidR="00305989" w:rsidRPr="00112CCD" w:rsidRDefault="00305989" w:rsidP="009C00A8">
            <w:pPr>
              <w:spacing w:before="240" w:line="600" w:lineRule="auto"/>
              <w:ind w:left="164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  <w:t>Penetrating testing</w:t>
            </w:r>
          </w:p>
        </w:tc>
        <w:tc>
          <w:tcPr>
            <w:tcW w:w="2393" w:type="dxa"/>
            <w:shd w:val="clear" w:color="auto" w:fill="C5E0B3" w:themeFill="accent6" w:themeFillTint="66"/>
          </w:tcPr>
          <w:p w:rsidR="00305989" w:rsidRPr="00112CCD" w:rsidRDefault="00305989" w:rsidP="009C00A8">
            <w:pPr>
              <w:spacing w:before="240" w:line="600" w:lineRule="auto"/>
              <w:ind w:left="567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</w:p>
        </w:tc>
      </w:tr>
      <w:tr w:rsidR="00305989" w:rsidRPr="00112CCD" w:rsidTr="009C00A8">
        <w:trPr>
          <w:jc w:val="center"/>
        </w:trPr>
        <w:tc>
          <w:tcPr>
            <w:tcW w:w="7241" w:type="dxa"/>
          </w:tcPr>
          <w:p w:rsidR="00305989" w:rsidRPr="00112CCD" w:rsidRDefault="00305989" w:rsidP="009C00A8">
            <w:pPr>
              <w:spacing w:before="240" w:line="600" w:lineRule="auto"/>
              <w:ind w:left="164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  <w:t>Code assessment, application review and testing</w:t>
            </w:r>
          </w:p>
        </w:tc>
        <w:tc>
          <w:tcPr>
            <w:tcW w:w="2393" w:type="dxa"/>
            <w:shd w:val="clear" w:color="auto" w:fill="C5E0B3" w:themeFill="accent6" w:themeFillTint="66"/>
          </w:tcPr>
          <w:p w:rsidR="00305989" w:rsidRPr="00112CCD" w:rsidRDefault="00305989" w:rsidP="009C00A8">
            <w:pPr>
              <w:spacing w:before="240" w:line="600" w:lineRule="auto"/>
              <w:ind w:left="567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</w:p>
        </w:tc>
      </w:tr>
      <w:tr w:rsidR="00305989" w:rsidRPr="00112CCD" w:rsidTr="009C00A8">
        <w:trPr>
          <w:jc w:val="center"/>
        </w:trPr>
        <w:tc>
          <w:tcPr>
            <w:tcW w:w="7241" w:type="dxa"/>
          </w:tcPr>
          <w:p w:rsidR="00305989" w:rsidRPr="00112CCD" w:rsidRDefault="00305989" w:rsidP="009C00A8">
            <w:pPr>
              <w:spacing w:before="240" w:line="600" w:lineRule="auto"/>
              <w:ind w:left="164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  <w:t>Security governance and strategy</w:t>
            </w:r>
          </w:p>
        </w:tc>
        <w:tc>
          <w:tcPr>
            <w:tcW w:w="2393" w:type="dxa"/>
            <w:shd w:val="clear" w:color="auto" w:fill="C5E0B3" w:themeFill="accent6" w:themeFillTint="66"/>
          </w:tcPr>
          <w:p w:rsidR="00305989" w:rsidRPr="00112CCD" w:rsidRDefault="00305989" w:rsidP="009C00A8">
            <w:pPr>
              <w:spacing w:before="240" w:line="600" w:lineRule="auto"/>
              <w:ind w:left="567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</w:p>
        </w:tc>
      </w:tr>
      <w:tr w:rsidR="00305989" w:rsidRPr="00112CCD" w:rsidTr="009C00A8">
        <w:trPr>
          <w:jc w:val="center"/>
        </w:trPr>
        <w:tc>
          <w:tcPr>
            <w:tcW w:w="7241" w:type="dxa"/>
          </w:tcPr>
          <w:p w:rsidR="00305989" w:rsidRDefault="00305989" w:rsidP="009C00A8">
            <w:pPr>
              <w:spacing w:before="240" w:line="600" w:lineRule="auto"/>
              <w:ind w:left="164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  <w:t>Security infrastructure, architecture, and configuration</w:t>
            </w:r>
          </w:p>
        </w:tc>
        <w:tc>
          <w:tcPr>
            <w:tcW w:w="2393" w:type="dxa"/>
            <w:shd w:val="clear" w:color="auto" w:fill="C5E0B3" w:themeFill="accent6" w:themeFillTint="66"/>
          </w:tcPr>
          <w:p w:rsidR="00305989" w:rsidRPr="00112CCD" w:rsidRDefault="00305989" w:rsidP="009C00A8">
            <w:pPr>
              <w:spacing w:before="240" w:line="600" w:lineRule="auto"/>
              <w:ind w:left="567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</w:p>
        </w:tc>
      </w:tr>
      <w:tr w:rsidR="00305989" w:rsidRPr="00112CCD" w:rsidTr="009C00A8">
        <w:trPr>
          <w:jc w:val="center"/>
        </w:trPr>
        <w:tc>
          <w:tcPr>
            <w:tcW w:w="7241" w:type="dxa"/>
          </w:tcPr>
          <w:p w:rsidR="00305989" w:rsidRDefault="00305989" w:rsidP="009C00A8">
            <w:pPr>
              <w:spacing w:before="240" w:line="600" w:lineRule="auto"/>
              <w:ind w:left="164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  <w:t>Security training for users, developers, support staff and engineers</w:t>
            </w:r>
          </w:p>
        </w:tc>
        <w:tc>
          <w:tcPr>
            <w:tcW w:w="2393" w:type="dxa"/>
            <w:shd w:val="clear" w:color="auto" w:fill="C5E0B3" w:themeFill="accent6" w:themeFillTint="66"/>
          </w:tcPr>
          <w:p w:rsidR="00305989" w:rsidRPr="00112CCD" w:rsidRDefault="00305989" w:rsidP="009C00A8">
            <w:pPr>
              <w:spacing w:before="240" w:line="600" w:lineRule="auto"/>
              <w:ind w:left="567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</w:p>
        </w:tc>
      </w:tr>
    </w:tbl>
    <w:p w:rsidR="00DE44E6" w:rsidRDefault="00305989">
      <w:bookmarkStart w:id="0" w:name="_GoBack"/>
      <w:bookmarkEnd w:id="0"/>
    </w:p>
    <w:sectPr w:rsidR="00DE4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F3678"/>
    <w:multiLevelType w:val="hybridMultilevel"/>
    <w:tmpl w:val="D98A3918"/>
    <w:lvl w:ilvl="0" w:tplc="A32EA9E8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10" w:hanging="360"/>
      </w:pPr>
    </w:lvl>
    <w:lvl w:ilvl="2" w:tplc="0C09001B" w:tentative="1">
      <w:start w:val="1"/>
      <w:numFmt w:val="lowerRoman"/>
      <w:lvlText w:val="%3."/>
      <w:lvlJc w:val="right"/>
      <w:pPr>
        <w:ind w:left="1530" w:hanging="180"/>
      </w:pPr>
    </w:lvl>
    <w:lvl w:ilvl="3" w:tplc="0C09000F" w:tentative="1">
      <w:start w:val="1"/>
      <w:numFmt w:val="decimal"/>
      <w:lvlText w:val="%4."/>
      <w:lvlJc w:val="left"/>
      <w:pPr>
        <w:ind w:left="2250" w:hanging="360"/>
      </w:pPr>
    </w:lvl>
    <w:lvl w:ilvl="4" w:tplc="0C090019" w:tentative="1">
      <w:start w:val="1"/>
      <w:numFmt w:val="lowerLetter"/>
      <w:lvlText w:val="%5."/>
      <w:lvlJc w:val="left"/>
      <w:pPr>
        <w:ind w:left="2970" w:hanging="360"/>
      </w:pPr>
    </w:lvl>
    <w:lvl w:ilvl="5" w:tplc="0C09001B" w:tentative="1">
      <w:start w:val="1"/>
      <w:numFmt w:val="lowerRoman"/>
      <w:lvlText w:val="%6."/>
      <w:lvlJc w:val="right"/>
      <w:pPr>
        <w:ind w:left="3690" w:hanging="180"/>
      </w:pPr>
    </w:lvl>
    <w:lvl w:ilvl="6" w:tplc="0C09000F" w:tentative="1">
      <w:start w:val="1"/>
      <w:numFmt w:val="decimal"/>
      <w:lvlText w:val="%7."/>
      <w:lvlJc w:val="left"/>
      <w:pPr>
        <w:ind w:left="4410" w:hanging="360"/>
      </w:pPr>
    </w:lvl>
    <w:lvl w:ilvl="7" w:tplc="0C090019" w:tentative="1">
      <w:start w:val="1"/>
      <w:numFmt w:val="lowerLetter"/>
      <w:lvlText w:val="%8."/>
      <w:lvlJc w:val="left"/>
      <w:pPr>
        <w:ind w:left="5130" w:hanging="360"/>
      </w:pPr>
    </w:lvl>
    <w:lvl w:ilvl="8" w:tplc="0C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89"/>
    <w:rsid w:val="00066B50"/>
    <w:rsid w:val="00305989"/>
    <w:rsid w:val="006A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C4B1B-07D5-4B1C-B366-A441C84A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989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305989"/>
    <w:pPr>
      <w:ind w:left="720"/>
      <w:contextualSpacing/>
      <w:jc w:val="left"/>
    </w:pPr>
    <w:rPr>
      <w:rFonts w:ascii="Cambria" w:eastAsia="Calibri" w:hAnsi="Cambria"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305989"/>
    <w:pPr>
      <w:spacing w:after="0" w:line="240" w:lineRule="auto"/>
    </w:pPr>
    <w:rPr>
      <w:rFonts w:ascii="Arial" w:eastAsiaTheme="minorEastAsia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305989"/>
    <w:rPr>
      <w:rFonts w:ascii="Cambria" w:eastAsia="Calibri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Grazzi</dc:creator>
  <cp:keywords/>
  <dc:description/>
  <cp:lastModifiedBy>Estelle Grazzi</cp:lastModifiedBy>
  <cp:revision>1</cp:revision>
  <dcterms:created xsi:type="dcterms:W3CDTF">2019-07-31T00:16:00Z</dcterms:created>
  <dcterms:modified xsi:type="dcterms:W3CDTF">2019-07-31T00:17:00Z</dcterms:modified>
</cp:coreProperties>
</file>